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9F" w:rsidRPr="00027C40" w:rsidRDefault="00C8279F" w:rsidP="00C8279F">
      <w:pPr>
        <w:jc w:val="center"/>
        <w:rPr>
          <w:b/>
          <w:sz w:val="24"/>
        </w:rPr>
      </w:pPr>
      <w:bookmarkStart w:id="0" w:name="_GoBack"/>
      <w:bookmarkEnd w:id="0"/>
      <w:r w:rsidRPr="00027C40">
        <w:rPr>
          <w:b/>
          <w:sz w:val="24"/>
        </w:rPr>
        <w:t>GENERIC SAFETY DATA SHEET</w:t>
      </w:r>
    </w:p>
    <w:p w:rsidR="00C8279F" w:rsidRPr="00027C40" w:rsidRDefault="00C8279F" w:rsidP="00C8279F">
      <w:pPr>
        <w:rPr>
          <w:sz w:val="24"/>
        </w:rPr>
      </w:pPr>
      <w:r w:rsidRPr="00027C40">
        <w:rPr>
          <w:b/>
          <w:sz w:val="24"/>
        </w:rPr>
        <w:t>SDS INSTRUCTIONS</w:t>
      </w:r>
    </w:p>
    <w:p w:rsidR="00C8279F" w:rsidRPr="00027C40" w:rsidRDefault="004822A3" w:rsidP="00B21856">
      <w:pPr>
        <w:spacing w:after="0"/>
        <w:jc w:val="both"/>
        <w:rPr>
          <w:sz w:val="24"/>
        </w:rPr>
      </w:pPr>
      <w:r>
        <w:rPr>
          <w:sz w:val="24"/>
        </w:rPr>
        <w:t xml:space="preserve">The </w:t>
      </w:r>
      <w:r w:rsidR="00C8279F" w:rsidRPr="00027C40">
        <w:rPr>
          <w:sz w:val="24"/>
        </w:rPr>
        <w:t>SDS is for</w:t>
      </w:r>
      <w:r>
        <w:rPr>
          <w:sz w:val="24"/>
        </w:rPr>
        <w:t xml:space="preserve"> POLYURETHANE ELASTOMERS</w:t>
      </w:r>
      <w:r w:rsidR="000950A6">
        <w:rPr>
          <w:sz w:val="24"/>
        </w:rPr>
        <w:t xml:space="preserve"> </w:t>
      </w:r>
      <w:r w:rsidR="000950A6" w:rsidRPr="000950A6">
        <w:rPr>
          <w:b/>
          <w:sz w:val="24"/>
          <w:u w:val="single"/>
        </w:rPr>
        <w:t>MADE USING MOCA</w:t>
      </w:r>
      <w:r w:rsidR="000950A6">
        <w:rPr>
          <w:sz w:val="24"/>
        </w:rPr>
        <w:t xml:space="preserve"> (</w:t>
      </w:r>
      <w:r w:rsidR="000950A6">
        <w:t xml:space="preserve">4,4’ methylene </w:t>
      </w:r>
      <w:proofErr w:type="spellStart"/>
      <w:r w:rsidR="000950A6">
        <w:t>bis</w:t>
      </w:r>
      <w:proofErr w:type="spellEnd"/>
      <w:r w:rsidR="000950A6">
        <w:t xml:space="preserve"> (2-chloroaniline: CAS # 104-14-4)</w:t>
      </w:r>
      <w:r>
        <w:rPr>
          <w:sz w:val="24"/>
        </w:rPr>
        <w:t xml:space="preserve">.  The </w:t>
      </w:r>
      <w:r w:rsidR="00C8279F" w:rsidRPr="00027C40">
        <w:rPr>
          <w:sz w:val="24"/>
        </w:rPr>
        <w:t>SDS contains most of the information you need. You need to edit this to match your product(s)</w:t>
      </w:r>
      <w:r w:rsidR="00BA047E">
        <w:rPr>
          <w:sz w:val="24"/>
        </w:rPr>
        <w:t xml:space="preserve">.  Items in brackets </w:t>
      </w:r>
      <w:r w:rsidR="00BA047E" w:rsidRPr="007B45F9">
        <w:rPr>
          <w:sz w:val="24"/>
          <w:highlight w:val="yellow"/>
        </w:rPr>
        <w:t>[]</w:t>
      </w:r>
      <w:r w:rsidR="00BA047E">
        <w:rPr>
          <w:sz w:val="24"/>
        </w:rPr>
        <w:t xml:space="preserve"> indicate that information should be added</w:t>
      </w:r>
      <w:r w:rsidR="00C8279F" w:rsidRPr="00027C40">
        <w:rPr>
          <w:sz w:val="24"/>
        </w:rPr>
        <w:t xml:space="preserve">. </w:t>
      </w:r>
      <w:r w:rsidR="00BA047E">
        <w:rPr>
          <w:sz w:val="24"/>
        </w:rPr>
        <w:t xml:space="preserve"> </w:t>
      </w:r>
      <w:r w:rsidR="00C8279F" w:rsidRPr="00027C40">
        <w:rPr>
          <w:sz w:val="24"/>
        </w:rPr>
        <w:t>At a minimum, in order to complete the MSDS you must do the following:</w:t>
      </w:r>
    </w:p>
    <w:p w:rsidR="00C8279F" w:rsidRPr="00027C40" w:rsidRDefault="00C8279F" w:rsidP="00B21856">
      <w:pPr>
        <w:spacing w:after="0"/>
        <w:jc w:val="both"/>
        <w:rPr>
          <w:sz w:val="24"/>
        </w:rPr>
      </w:pPr>
      <w:r w:rsidRPr="00027C40">
        <w:rPr>
          <w:sz w:val="24"/>
        </w:rPr>
        <w:tab/>
        <w:t>Section 1: Chemical Product / Company Identification must be completed in full</w:t>
      </w:r>
    </w:p>
    <w:p w:rsidR="00C8279F" w:rsidRDefault="00C8279F" w:rsidP="00B21856">
      <w:pPr>
        <w:spacing w:after="0"/>
        <w:jc w:val="both"/>
        <w:rPr>
          <w:sz w:val="24"/>
        </w:rPr>
      </w:pPr>
      <w:r w:rsidRPr="00027C40">
        <w:rPr>
          <w:sz w:val="24"/>
        </w:rPr>
        <w:tab/>
        <w:t xml:space="preserve">Section 2: Hazard Identification - Emergency Overview must be altered to correspond with your specific material. The sentence that reads ”These fumes could contain traces of TDI, MDI, other </w:t>
      </w:r>
      <w:r w:rsidR="00BA047E">
        <w:rPr>
          <w:sz w:val="24"/>
        </w:rPr>
        <w:t>isocyanates, and/or curatives.”</w:t>
      </w:r>
      <w:r w:rsidRPr="00027C40">
        <w:rPr>
          <w:sz w:val="24"/>
        </w:rPr>
        <w:t xml:space="preserve">  needs to be changed to reflect your specific material. </w:t>
      </w:r>
      <w:r w:rsidR="00BA047E">
        <w:rPr>
          <w:sz w:val="24"/>
        </w:rPr>
        <w:t xml:space="preserve"> </w:t>
      </w:r>
      <w:r w:rsidRPr="00027C40">
        <w:rPr>
          <w:sz w:val="24"/>
        </w:rPr>
        <w:t>Replace TDI, MDI, other isocyanates, and/or curatives to reflect your specific raw materials.</w:t>
      </w:r>
      <w:r w:rsidR="00BA047E">
        <w:rPr>
          <w:sz w:val="24"/>
        </w:rPr>
        <w:t xml:space="preserve"> </w:t>
      </w:r>
      <w:r w:rsidRPr="00027C40">
        <w:rPr>
          <w:sz w:val="24"/>
        </w:rPr>
        <w:t xml:space="preserve"> Note that there is a reference to mercury compounds that may or may not apply to your product</w:t>
      </w:r>
    </w:p>
    <w:p w:rsidR="000950A6" w:rsidRPr="00027C40" w:rsidRDefault="000950A6" w:rsidP="00B21856">
      <w:pPr>
        <w:spacing w:after="0"/>
        <w:jc w:val="both"/>
        <w:rPr>
          <w:sz w:val="24"/>
        </w:rPr>
      </w:pPr>
      <w:r>
        <w:rPr>
          <w:sz w:val="24"/>
        </w:rPr>
        <w:tab/>
      </w:r>
      <w:proofErr w:type="gramStart"/>
      <w:r>
        <w:rPr>
          <w:sz w:val="24"/>
        </w:rPr>
        <w:t>Section  3</w:t>
      </w:r>
      <w:proofErr w:type="gramEnd"/>
      <w:r>
        <w:rPr>
          <w:sz w:val="24"/>
        </w:rPr>
        <w:t>:   If the concentration of residual free MOCA in the product (article) is over 0.1% you must change the percentage in the table to reflect this.  Refer to the REACH guidance on page 2 if the parts will be exported to an EU member country.</w:t>
      </w:r>
    </w:p>
    <w:p w:rsidR="00C8279F" w:rsidRPr="00027C40" w:rsidRDefault="00C8279F" w:rsidP="00B21856">
      <w:pPr>
        <w:spacing w:after="0"/>
        <w:jc w:val="both"/>
        <w:rPr>
          <w:sz w:val="24"/>
        </w:rPr>
      </w:pPr>
      <w:r w:rsidRPr="00027C40">
        <w:rPr>
          <w:sz w:val="24"/>
        </w:rPr>
        <w:tab/>
        <w:t>Section 8: Exposure Controls, Personal Protection. Edit as needed to reflect your products.</w:t>
      </w:r>
    </w:p>
    <w:p w:rsidR="00C8279F" w:rsidRPr="00027C40" w:rsidRDefault="00C8279F" w:rsidP="00B21856">
      <w:pPr>
        <w:spacing w:after="0"/>
        <w:jc w:val="both"/>
        <w:rPr>
          <w:sz w:val="24"/>
        </w:rPr>
      </w:pPr>
      <w:r w:rsidRPr="00027C40">
        <w:rPr>
          <w:sz w:val="24"/>
        </w:rPr>
        <w:tab/>
        <w:t>Section 10</w:t>
      </w:r>
      <w:r w:rsidR="00BA047E">
        <w:rPr>
          <w:sz w:val="24"/>
        </w:rPr>
        <w:t>.6</w:t>
      </w:r>
      <w:r w:rsidRPr="00027C40">
        <w:rPr>
          <w:sz w:val="24"/>
        </w:rPr>
        <w:t xml:space="preserve">: Stability and Reactivity - Hazardous Decomposition or By-products must be altered to correspond with your specific material. The sentence that reads ”Decomposition through burning produces fumes consisting of organic particulate, gaseous hydrocarbons, carbon dioxide, carbon monoxide and may contain traces of toluene diisocyanate (TDI) or diphenylmethane diisocyanate (MDI), other isocyanates, curatives, hydrogen cyanide, acrolein and oxides of nitrogen.”,  needs to be changed to reflect your specific material. </w:t>
      </w:r>
      <w:r w:rsidR="00BA047E">
        <w:rPr>
          <w:sz w:val="24"/>
        </w:rPr>
        <w:t xml:space="preserve"> </w:t>
      </w:r>
      <w:r w:rsidRPr="00027C40">
        <w:rPr>
          <w:sz w:val="24"/>
        </w:rPr>
        <w:t>Replace “toluene diisocyanate (TDI) or diphenylmethane diisocyanate (MDI), other isocyanates, curatives, hydrogen cyanide, acrolein and oxides of nitrogen” to reflect by products of your specific raw materials.</w:t>
      </w:r>
    </w:p>
    <w:p w:rsidR="00C8279F" w:rsidRPr="00027C40" w:rsidRDefault="00C8279F" w:rsidP="00B21856">
      <w:pPr>
        <w:spacing w:after="0"/>
        <w:jc w:val="both"/>
        <w:rPr>
          <w:sz w:val="24"/>
        </w:rPr>
      </w:pPr>
      <w:r w:rsidRPr="00027C40">
        <w:rPr>
          <w:sz w:val="24"/>
        </w:rPr>
        <w:tab/>
        <w:t>Section 13: Disposal Considerations. Change this section if your product has the potential to be a hazardous waste.</w:t>
      </w:r>
    </w:p>
    <w:p w:rsidR="00C8279F" w:rsidRDefault="00C8279F" w:rsidP="00B21856">
      <w:pPr>
        <w:spacing w:after="0"/>
        <w:jc w:val="both"/>
        <w:rPr>
          <w:sz w:val="24"/>
        </w:rPr>
      </w:pPr>
      <w:r w:rsidRPr="00027C40">
        <w:rPr>
          <w:sz w:val="24"/>
        </w:rPr>
        <w:tab/>
        <w:t>Section 15: Regulatory Information: Th</w:t>
      </w:r>
      <w:r w:rsidR="00BA047E">
        <w:rPr>
          <w:sz w:val="24"/>
        </w:rPr>
        <w:t>i</w:t>
      </w:r>
      <w:r w:rsidRPr="00027C40">
        <w:rPr>
          <w:sz w:val="24"/>
        </w:rPr>
        <w:t>s section should be carefully examined an</w:t>
      </w:r>
      <w:r w:rsidR="00BA047E">
        <w:rPr>
          <w:sz w:val="24"/>
        </w:rPr>
        <w:t xml:space="preserve">d filled in to note applicable </w:t>
      </w:r>
      <w:r w:rsidRPr="00027C40">
        <w:rPr>
          <w:sz w:val="24"/>
        </w:rPr>
        <w:t>federal, state, and international regulations. For example, polyurethane products with mercury content could be subject to some of these regulatory requirements.</w:t>
      </w:r>
    </w:p>
    <w:p w:rsidR="000950A6" w:rsidRDefault="00D7558A" w:rsidP="00B21856">
      <w:pPr>
        <w:spacing w:after="0"/>
        <w:jc w:val="both"/>
        <w:rPr>
          <w:sz w:val="24"/>
        </w:rPr>
      </w:pPr>
      <w:r>
        <w:rPr>
          <w:sz w:val="24"/>
        </w:rPr>
        <w:t xml:space="preserve">   </w:t>
      </w:r>
      <w:r>
        <w:rPr>
          <w:sz w:val="24"/>
        </w:rPr>
        <w:tab/>
        <w:t xml:space="preserve"> If the concentration of residual free MOCA in the product (article) is over 0.1% you must change Section 15 “</w:t>
      </w:r>
      <w:r w:rsidRPr="00027C40">
        <w:rPr>
          <w:sz w:val="24"/>
        </w:rPr>
        <w:t>international regulations</w:t>
      </w:r>
      <w:r>
        <w:rPr>
          <w:sz w:val="24"/>
        </w:rPr>
        <w:t>” to reflect that the REACH “Communication” regulations apply. Refer to the REACH guidance on page 2..</w:t>
      </w:r>
    </w:p>
    <w:p w:rsidR="000950A6" w:rsidRDefault="000950A6" w:rsidP="00B21856">
      <w:pPr>
        <w:spacing w:after="0"/>
        <w:jc w:val="both"/>
        <w:rPr>
          <w:sz w:val="24"/>
        </w:rPr>
      </w:pPr>
    </w:p>
    <w:p w:rsidR="000950A6" w:rsidRDefault="000950A6" w:rsidP="00B21856">
      <w:pPr>
        <w:spacing w:after="0"/>
        <w:jc w:val="both"/>
        <w:rPr>
          <w:sz w:val="24"/>
        </w:rPr>
      </w:pPr>
    </w:p>
    <w:p w:rsidR="000950A6" w:rsidRDefault="000950A6" w:rsidP="00B21856">
      <w:pPr>
        <w:spacing w:after="0"/>
        <w:jc w:val="both"/>
        <w:rPr>
          <w:sz w:val="24"/>
        </w:rPr>
      </w:pPr>
    </w:p>
    <w:p w:rsidR="000950A6" w:rsidRPr="000950A6" w:rsidRDefault="000950A6" w:rsidP="000950A6">
      <w:pPr>
        <w:rPr>
          <w:b/>
        </w:rPr>
      </w:pPr>
      <w:r w:rsidRPr="000950A6">
        <w:rPr>
          <w:b/>
        </w:rPr>
        <w:t>GUIDA</w:t>
      </w:r>
      <w:r>
        <w:rPr>
          <w:b/>
        </w:rPr>
        <w:t>NC</w:t>
      </w:r>
      <w:r w:rsidRPr="000950A6">
        <w:rPr>
          <w:b/>
        </w:rPr>
        <w:t>E FOR THE APPLICATION OF EUROPEA</w:t>
      </w:r>
      <w:r>
        <w:rPr>
          <w:b/>
        </w:rPr>
        <w:t xml:space="preserve">N </w:t>
      </w:r>
      <w:r w:rsidRPr="000950A6">
        <w:rPr>
          <w:b/>
        </w:rPr>
        <w:t>REACH REGULATIONS:</w:t>
      </w:r>
    </w:p>
    <w:p w:rsidR="000950A6" w:rsidRDefault="000950A6" w:rsidP="000950A6">
      <w:pPr>
        <w:rPr>
          <w:rFonts w:ascii="Calibri" w:hAnsi="Calibri" w:cs="Calibri"/>
          <w:color w:val="000000"/>
        </w:rPr>
      </w:pPr>
      <w:r>
        <w:t xml:space="preserve">Since MOCA is </w:t>
      </w:r>
      <w:r>
        <w:rPr>
          <w:rFonts w:ascii="Calibri" w:hAnsi="Calibri" w:cs="Calibri"/>
          <w:color w:val="000000"/>
        </w:rPr>
        <w:t>identified as an SVHC</w:t>
      </w:r>
      <w:r>
        <w:rPr>
          <w:rFonts w:ascii="Calibri" w:hAnsi="Calibri" w:cs="Calibri"/>
          <w:color w:val="0563C2"/>
        </w:rPr>
        <w:t>,</w:t>
      </w:r>
      <w:r>
        <w:rPr>
          <w:rFonts w:ascii="Calibri" w:hAnsi="Calibri" w:cs="Calibri"/>
          <w:color w:val="000000"/>
        </w:rPr>
        <w:t xml:space="preserve"> the following apply for parts (articles) being exported to the EU:</w:t>
      </w:r>
    </w:p>
    <w:p w:rsidR="000950A6" w:rsidRDefault="000950A6" w:rsidP="000950A6">
      <w:pPr>
        <w:autoSpaceDE w:val="0"/>
        <w:autoSpaceDN w:val="0"/>
        <w:adjustRightInd w:val="0"/>
        <w:spacing w:after="0"/>
        <w:rPr>
          <w:rFonts w:ascii="Calibri" w:hAnsi="Calibri" w:cs="Calibri"/>
          <w:color w:val="000000"/>
        </w:rPr>
      </w:pPr>
      <w:proofErr w:type="gramStart"/>
      <w:r>
        <w:rPr>
          <w:rFonts w:ascii="Calibri" w:hAnsi="Calibri" w:cs="Calibri"/>
          <w:color w:val="000000"/>
        </w:rPr>
        <w:t xml:space="preserve">1) </w:t>
      </w:r>
      <w:r w:rsidRPr="003E660C">
        <w:t xml:space="preserve"> COMMUNICATION</w:t>
      </w:r>
      <w:proofErr w:type="gramEnd"/>
      <w:r w:rsidRPr="003E660C">
        <w:t xml:space="preserve">: </w:t>
      </w:r>
      <w:r>
        <w:t xml:space="preserve">The </w:t>
      </w:r>
      <w:r w:rsidRPr="003E660C">
        <w:t xml:space="preserve">suppliers of articles containing MOCA in a concentration &gt; 0.1% (w/w) have to provide “relevant safety information about this substance available to them to the recipients of these articles”. The </w:t>
      </w:r>
      <w:proofErr w:type="gramStart"/>
      <w:r w:rsidRPr="003E660C">
        <w:t>presence of MOCA in parts need</w:t>
      </w:r>
      <w:proofErr w:type="gramEnd"/>
      <w:r w:rsidRPr="003E660C">
        <w:t xml:space="preserve"> to be communicated down the supply chain if the concentration is above 0.1%.</w:t>
      </w:r>
      <w:r>
        <w:t xml:space="preserve"> </w:t>
      </w:r>
    </w:p>
    <w:p w:rsidR="000950A6" w:rsidRPr="0061187E" w:rsidRDefault="000950A6" w:rsidP="000950A6">
      <w:pPr>
        <w:spacing w:after="0" w:line="23" w:lineRule="atLeast"/>
        <w:rPr>
          <w:rFonts w:ascii="Calibri" w:hAnsi="Calibri" w:cs="Calibri"/>
          <w:color w:val="000000"/>
          <w:sz w:val="12"/>
        </w:rPr>
      </w:pPr>
    </w:p>
    <w:p w:rsidR="000950A6" w:rsidRDefault="000950A6" w:rsidP="000950A6">
      <w:pPr>
        <w:spacing w:after="0" w:line="23" w:lineRule="atLeast"/>
        <w:rPr>
          <w:rFonts w:ascii="Calibri" w:hAnsi="Calibri" w:cs="Calibri"/>
          <w:color w:val="000000"/>
        </w:rPr>
      </w:pPr>
      <w:r>
        <w:rPr>
          <w:rFonts w:ascii="Calibri" w:hAnsi="Calibri" w:cs="Calibri"/>
          <w:color w:val="000000"/>
        </w:rPr>
        <w:t xml:space="preserve">2) NOTIFICATION: MOCA in an article requires </w:t>
      </w:r>
      <w:r w:rsidRPr="003E660C">
        <w:rPr>
          <w:rFonts w:ascii="Calibri" w:hAnsi="Calibri" w:cs="Calibri"/>
          <w:color w:val="000000"/>
        </w:rPr>
        <w:t xml:space="preserve">Notification to </w:t>
      </w:r>
      <w:proofErr w:type="spellStart"/>
      <w:r w:rsidRPr="003E660C">
        <w:rPr>
          <w:rFonts w:ascii="Calibri" w:hAnsi="Calibri" w:cs="Calibri"/>
          <w:color w:val="000000"/>
        </w:rPr>
        <w:t>EC</w:t>
      </w:r>
      <w:r>
        <w:rPr>
          <w:rFonts w:ascii="Calibri" w:hAnsi="Calibri" w:cs="Calibri"/>
          <w:color w:val="000000"/>
        </w:rPr>
        <w:t>h</w:t>
      </w:r>
      <w:r w:rsidRPr="003E660C">
        <w:rPr>
          <w:rFonts w:ascii="Calibri" w:hAnsi="Calibri" w:cs="Calibri"/>
          <w:color w:val="000000"/>
        </w:rPr>
        <w:t>A</w:t>
      </w:r>
      <w:proofErr w:type="spellEnd"/>
      <w:r w:rsidRPr="003E660C">
        <w:rPr>
          <w:rFonts w:ascii="Calibri" w:hAnsi="Calibri" w:cs="Calibri"/>
          <w:color w:val="000000"/>
        </w:rPr>
        <w:t xml:space="preserve"> </w:t>
      </w:r>
      <w:r>
        <w:rPr>
          <w:rFonts w:ascii="Calibri" w:hAnsi="Calibri" w:cs="Calibri"/>
          <w:color w:val="000000"/>
        </w:rPr>
        <w:t xml:space="preserve">(European Chemical Agency) when </w:t>
      </w:r>
      <w:r w:rsidRPr="000950A6">
        <w:rPr>
          <w:rFonts w:ascii="Calibri" w:hAnsi="Calibri" w:cs="Calibri"/>
          <w:b/>
          <w:color w:val="000000"/>
          <w:u w:val="single"/>
        </w:rPr>
        <w:t xml:space="preserve">both </w:t>
      </w:r>
      <w:r>
        <w:rPr>
          <w:rFonts w:ascii="Calibri" w:hAnsi="Calibri" w:cs="Calibri"/>
          <w:color w:val="000000"/>
        </w:rPr>
        <w:t>the following are true:</w:t>
      </w:r>
    </w:p>
    <w:p w:rsidR="000950A6" w:rsidRPr="0061187E" w:rsidRDefault="000950A6" w:rsidP="000950A6">
      <w:pPr>
        <w:autoSpaceDE w:val="0"/>
        <w:autoSpaceDN w:val="0"/>
        <w:adjustRightInd w:val="0"/>
        <w:spacing w:after="0" w:line="23" w:lineRule="atLeast"/>
        <w:rPr>
          <w:rFonts w:ascii="Calibri" w:hAnsi="Calibri" w:cs="Calibri"/>
          <w:color w:val="000000"/>
          <w:sz w:val="24"/>
        </w:rPr>
      </w:pPr>
      <w:r>
        <w:rPr>
          <w:rFonts w:ascii="Arial" w:hAnsi="Arial" w:cs="Arial"/>
          <w:color w:val="000000"/>
        </w:rPr>
        <w:tab/>
        <w:t xml:space="preserve">• </w:t>
      </w:r>
      <w:r w:rsidRPr="003E660C">
        <w:t xml:space="preserve">MOCA is </w:t>
      </w:r>
      <w:r>
        <w:rPr>
          <w:rFonts w:ascii="Calibri" w:hAnsi="Calibri" w:cs="Calibri"/>
          <w:color w:val="000000"/>
        </w:rPr>
        <w:t>present in an article in totals of 1 metric ton per year or more;</w:t>
      </w:r>
      <w:r w:rsidRPr="00146562">
        <w:rPr>
          <w:rFonts w:ascii="Calibri" w:hAnsi="Calibri" w:cs="Calibri"/>
          <w:b/>
          <w:color w:val="000000"/>
        </w:rPr>
        <w:t xml:space="preserve"> </w:t>
      </w:r>
      <w:r w:rsidRPr="0061187E">
        <w:rPr>
          <w:rFonts w:ascii="Calibri" w:hAnsi="Calibri" w:cs="Calibri"/>
          <w:b/>
          <w:color w:val="000000"/>
          <w:sz w:val="24"/>
        </w:rPr>
        <w:t>and</w:t>
      </w:r>
    </w:p>
    <w:p w:rsidR="000950A6" w:rsidRDefault="000950A6" w:rsidP="000950A6">
      <w:pPr>
        <w:autoSpaceDE w:val="0"/>
        <w:autoSpaceDN w:val="0"/>
        <w:adjustRightInd w:val="0"/>
        <w:spacing w:after="0" w:line="240" w:lineRule="auto"/>
        <w:rPr>
          <w:rFonts w:ascii="Calibri" w:hAnsi="Calibri" w:cs="Calibri"/>
          <w:color w:val="000000"/>
        </w:rPr>
      </w:pPr>
      <w:r>
        <w:rPr>
          <w:rFonts w:ascii="Arial" w:hAnsi="Arial" w:cs="Arial"/>
          <w:color w:val="000000"/>
        </w:rPr>
        <w:tab/>
        <w:t xml:space="preserve">• </w:t>
      </w:r>
      <w:r w:rsidRPr="003E660C">
        <w:t>MOCA i</w:t>
      </w:r>
      <w:r>
        <w:rPr>
          <w:rFonts w:ascii="Calibri" w:hAnsi="Calibri" w:cs="Calibri"/>
          <w:color w:val="000000"/>
        </w:rPr>
        <w:t>s present in the article at a concentration &gt; 0.1% w/w.</w:t>
      </w:r>
    </w:p>
    <w:p w:rsidR="000950A6" w:rsidRPr="00432F2D" w:rsidRDefault="000950A6" w:rsidP="000950A6">
      <w:pPr>
        <w:autoSpaceDE w:val="0"/>
        <w:autoSpaceDN w:val="0"/>
        <w:adjustRightInd w:val="0"/>
        <w:spacing w:after="0" w:line="240" w:lineRule="auto"/>
        <w:rPr>
          <w:rFonts w:ascii="Calibri" w:hAnsi="Calibri" w:cs="Calibri"/>
          <w:color w:val="000000"/>
          <w:sz w:val="12"/>
        </w:rPr>
      </w:pPr>
      <w:r>
        <w:rPr>
          <w:rFonts w:ascii="Calibri" w:hAnsi="Calibri" w:cs="Calibri"/>
          <w:color w:val="000000"/>
        </w:rPr>
        <w:t xml:space="preserve">       </w:t>
      </w:r>
    </w:p>
    <w:p w:rsidR="000950A6" w:rsidRDefault="000950A6" w:rsidP="000950A6">
      <w:r>
        <w:t xml:space="preserve">3) AUTHORIZATION:  The fact that MOCA is on Annex XIV and therefore the use of it will be subject to Authorization does not have any effect on non-EU producers wanting to export articles to the EU.  </w:t>
      </w:r>
    </w:p>
    <w:p w:rsidR="000950A6" w:rsidRDefault="000950A6" w:rsidP="000950A6">
      <w:r>
        <w:t xml:space="preserve">The </w:t>
      </w:r>
      <w:proofErr w:type="spellStart"/>
      <w:r>
        <w:t>EChA</w:t>
      </w:r>
      <w:proofErr w:type="spellEnd"/>
      <w:r>
        <w:t xml:space="preserve"> website has excellent guidance documents and Q&amp;A’s available to help those needing more information.</w:t>
      </w:r>
    </w:p>
    <w:p w:rsidR="000950A6" w:rsidRDefault="000950A6" w:rsidP="00B21856">
      <w:pPr>
        <w:spacing w:after="0"/>
        <w:jc w:val="both"/>
        <w:rPr>
          <w:sz w:val="24"/>
        </w:rPr>
      </w:pPr>
    </w:p>
    <w:p w:rsidR="005A711D" w:rsidRDefault="005A711D" w:rsidP="00BA047E">
      <w:pPr>
        <w:jc w:val="both"/>
      </w:pPr>
      <w:r>
        <w:rPr>
          <w:sz w:val="24"/>
        </w:rPr>
        <w:t xml:space="preserve">Disclaimer: </w:t>
      </w:r>
      <w:r>
        <w:t>This sample safety data sheet is provided for informational purposes only and should not be relied on as legal advice.  Nothing herein constitutes the establishment of an attorney-client relationship between you and any attorney involved in drafting of material included this sample safety data sheet.  The sample safety data sheet cannot and does not address the unique facts and circumstances of your specific situation and you should tailor the sample safety data sheet for your particular material formulation and application.  If you have any questions on the use of the sample safety data sheet you should contact an industrial hygienist and/or legal counsel.</w:t>
      </w:r>
    </w:p>
    <w:p w:rsidR="000950A6" w:rsidRDefault="000950A6">
      <w:pPr>
        <w:rPr>
          <w:rFonts w:asciiTheme="majorHAnsi" w:eastAsiaTheme="majorEastAsia" w:hAnsiTheme="majorHAnsi" w:cstheme="majorBidi"/>
          <w:b/>
          <w:bCs/>
          <w:color w:val="365F91" w:themeColor="accent1" w:themeShade="BF"/>
          <w:sz w:val="36"/>
          <w:szCs w:val="28"/>
        </w:rPr>
      </w:pPr>
      <w:r>
        <w:rPr>
          <w:sz w:val="36"/>
        </w:rPr>
        <w:br w:type="page"/>
      </w:r>
    </w:p>
    <w:p w:rsidR="002B2D7D" w:rsidRPr="00185511" w:rsidRDefault="002B2D7D" w:rsidP="00606695">
      <w:pPr>
        <w:pStyle w:val="Heading1"/>
        <w:jc w:val="center"/>
        <w:rPr>
          <w:sz w:val="36"/>
        </w:rPr>
      </w:pPr>
      <w:r w:rsidRPr="00185511">
        <w:rPr>
          <w:sz w:val="36"/>
        </w:rPr>
        <w:lastRenderedPageBreak/>
        <w:t>Safety Data Sheet</w:t>
      </w:r>
    </w:p>
    <w:p w:rsidR="002B2D7D" w:rsidRDefault="00FB331F" w:rsidP="00606695">
      <w:pPr>
        <w:pStyle w:val="Heading2"/>
        <w:pBdr>
          <w:bottom w:val="double" w:sz="6" w:space="1" w:color="auto"/>
        </w:pBdr>
      </w:pPr>
      <w:r w:rsidRPr="00FB331F">
        <w:t>1.</w:t>
      </w:r>
      <w:r>
        <w:t xml:space="preserve"> Identification</w:t>
      </w:r>
    </w:p>
    <w:p w:rsidR="00DB13C5" w:rsidRDefault="00DB13C5" w:rsidP="00DB13C5">
      <w:pPr>
        <w:pStyle w:val="NoSpacing"/>
      </w:pPr>
    </w:p>
    <w:p w:rsidR="00F27D8C" w:rsidRDefault="00A866DE" w:rsidP="001C761B">
      <w:pPr>
        <w:pStyle w:val="ListParagraph"/>
        <w:numPr>
          <w:ilvl w:val="1"/>
          <w:numId w:val="2"/>
        </w:numPr>
        <w:spacing w:line="360" w:lineRule="auto"/>
        <w:ind w:left="540" w:hanging="540"/>
        <w:rPr>
          <w:rStyle w:val="Emphasis"/>
        </w:rPr>
      </w:pPr>
      <w:r w:rsidRPr="00F27D8C">
        <w:rPr>
          <w:rStyle w:val="Emphasis"/>
        </w:rPr>
        <w:t xml:space="preserve">Product </w:t>
      </w:r>
      <w:r w:rsidR="006C5FF9">
        <w:rPr>
          <w:rStyle w:val="Emphasis"/>
        </w:rPr>
        <w:t>i</w:t>
      </w:r>
      <w:r w:rsidR="00606695" w:rsidRPr="00F27D8C">
        <w:rPr>
          <w:rStyle w:val="Emphasis"/>
        </w:rPr>
        <w:t>dentifier</w:t>
      </w:r>
    </w:p>
    <w:p w:rsidR="001C761B" w:rsidRPr="001C761B" w:rsidRDefault="001C761B" w:rsidP="001C761B">
      <w:pPr>
        <w:pStyle w:val="ListParagraph"/>
        <w:spacing w:line="360" w:lineRule="auto"/>
        <w:ind w:left="540"/>
        <w:rPr>
          <w:iCs/>
        </w:rPr>
      </w:pPr>
      <w:r w:rsidRPr="00CB2C93">
        <w:rPr>
          <w:rStyle w:val="Emphasis"/>
          <w:i w:val="0"/>
          <w:highlight w:val="yellow"/>
        </w:rPr>
        <w:t>[Product Name]</w:t>
      </w:r>
    </w:p>
    <w:p w:rsidR="00F27D8C" w:rsidRPr="00F27D8C" w:rsidRDefault="00DD5210" w:rsidP="00C13249">
      <w:pPr>
        <w:pStyle w:val="ListParagraph"/>
        <w:numPr>
          <w:ilvl w:val="1"/>
          <w:numId w:val="2"/>
        </w:numPr>
        <w:spacing w:line="360" w:lineRule="auto"/>
        <w:ind w:left="540" w:hanging="540"/>
        <w:rPr>
          <w:rStyle w:val="Emphasis"/>
        </w:rPr>
      </w:pPr>
      <w:r w:rsidRPr="00F27D8C">
        <w:rPr>
          <w:rStyle w:val="Emphasis"/>
        </w:rPr>
        <w:t xml:space="preserve">Relevant </w:t>
      </w:r>
      <w:r w:rsidR="006C5FF9">
        <w:rPr>
          <w:rStyle w:val="Emphasis"/>
        </w:rPr>
        <w:t>u</w:t>
      </w:r>
      <w:r w:rsidRPr="00F27D8C">
        <w:rPr>
          <w:rStyle w:val="Emphasis"/>
        </w:rPr>
        <w:t>ses</w:t>
      </w:r>
      <w:r w:rsidR="006C5FF9">
        <w:rPr>
          <w:rStyle w:val="Emphasis"/>
        </w:rPr>
        <w:t xml:space="preserve"> and uses advised a</w:t>
      </w:r>
      <w:r w:rsidR="00F27D8C" w:rsidRPr="00F27D8C">
        <w:rPr>
          <w:rStyle w:val="Emphasis"/>
        </w:rPr>
        <w:t>gainst</w:t>
      </w:r>
    </w:p>
    <w:p w:rsidR="00606695" w:rsidRDefault="001C761B" w:rsidP="00F27D8C">
      <w:pPr>
        <w:pStyle w:val="ListParagraph"/>
        <w:spacing w:line="360" w:lineRule="auto"/>
        <w:ind w:left="540"/>
      </w:pPr>
      <w:r w:rsidRPr="00CB2C93">
        <w:rPr>
          <w:highlight w:val="yellow"/>
        </w:rPr>
        <w:t xml:space="preserve">[Example: </w:t>
      </w:r>
      <w:r w:rsidR="00DD5210" w:rsidRPr="00CB2C93">
        <w:rPr>
          <w:highlight w:val="yellow"/>
        </w:rPr>
        <w:t>For industrial</w:t>
      </w:r>
      <w:r w:rsidR="00F27D8C" w:rsidRPr="00CB2C93">
        <w:rPr>
          <w:highlight w:val="yellow"/>
        </w:rPr>
        <w:t xml:space="preserve"> or professional</w:t>
      </w:r>
      <w:r w:rsidR="00DD5210" w:rsidRPr="00CB2C93">
        <w:rPr>
          <w:highlight w:val="yellow"/>
        </w:rPr>
        <w:t xml:space="preserve"> use only. </w:t>
      </w:r>
      <w:r w:rsidRPr="00CB2C93">
        <w:rPr>
          <w:highlight w:val="yellow"/>
        </w:rPr>
        <w:t>]</w:t>
      </w:r>
      <w:r w:rsidR="00DD5210">
        <w:t xml:space="preserve"> </w:t>
      </w:r>
    </w:p>
    <w:p w:rsidR="00606695" w:rsidRDefault="006C5FF9" w:rsidP="00C13249">
      <w:pPr>
        <w:pStyle w:val="ListParagraph"/>
        <w:numPr>
          <w:ilvl w:val="1"/>
          <w:numId w:val="2"/>
        </w:numPr>
        <w:spacing w:line="360" w:lineRule="auto"/>
        <w:ind w:left="540" w:hanging="540"/>
      </w:pPr>
      <w:r>
        <w:rPr>
          <w:rStyle w:val="Emphasis"/>
        </w:rPr>
        <w:t>Details of the supplier of the safety data s</w:t>
      </w:r>
      <w:r w:rsidR="00F27D8C" w:rsidRPr="00F27D8C">
        <w:rPr>
          <w:rStyle w:val="Emphasis"/>
        </w:rPr>
        <w:t>heet</w:t>
      </w:r>
      <w:r w:rsidR="000E5051">
        <w:br/>
      </w:r>
      <w:r w:rsidR="001C761B" w:rsidRPr="00CB2C93">
        <w:rPr>
          <w:highlight w:val="yellow"/>
        </w:rPr>
        <w:t>[</w:t>
      </w:r>
      <w:r w:rsidR="000E5051" w:rsidRPr="00CB2C93">
        <w:rPr>
          <w:highlight w:val="yellow"/>
        </w:rPr>
        <w:t>Company</w:t>
      </w:r>
      <w:r w:rsidR="001C761B" w:rsidRPr="00CB2C93">
        <w:rPr>
          <w:highlight w:val="yellow"/>
        </w:rPr>
        <w:t>]</w:t>
      </w:r>
    </w:p>
    <w:p w:rsidR="000E5051" w:rsidRPr="00CB2C93" w:rsidRDefault="001C761B" w:rsidP="00C13249">
      <w:pPr>
        <w:pStyle w:val="ListParagraph"/>
        <w:spacing w:line="360" w:lineRule="auto"/>
        <w:ind w:left="540"/>
        <w:rPr>
          <w:highlight w:val="yellow"/>
        </w:rPr>
      </w:pPr>
      <w:r w:rsidRPr="00CB2C93">
        <w:rPr>
          <w:highlight w:val="yellow"/>
        </w:rPr>
        <w:t>[Address]</w:t>
      </w:r>
    </w:p>
    <w:p w:rsidR="000E5051" w:rsidRDefault="00B45BCD" w:rsidP="00C13249">
      <w:pPr>
        <w:pStyle w:val="ListParagraph"/>
        <w:spacing w:line="360" w:lineRule="auto"/>
        <w:ind w:left="540"/>
      </w:pPr>
      <w:r w:rsidRPr="00CB2C93">
        <w:rPr>
          <w:highlight w:val="yellow"/>
        </w:rPr>
        <w:t xml:space="preserve">Further Information: </w:t>
      </w:r>
      <w:r w:rsidR="001C761B" w:rsidRPr="00CB2C93">
        <w:rPr>
          <w:highlight w:val="yellow"/>
        </w:rPr>
        <w:t>[email info]</w:t>
      </w:r>
    </w:p>
    <w:p w:rsidR="00745E03" w:rsidRDefault="00606695" w:rsidP="00745E03">
      <w:pPr>
        <w:pStyle w:val="ListParagraph"/>
        <w:numPr>
          <w:ilvl w:val="1"/>
          <w:numId w:val="2"/>
        </w:numPr>
        <w:spacing w:line="360" w:lineRule="auto"/>
        <w:ind w:left="540" w:hanging="540"/>
        <w:rPr>
          <w:rStyle w:val="Emphasis"/>
        </w:rPr>
      </w:pPr>
      <w:r w:rsidRPr="00B45BCD">
        <w:rPr>
          <w:rStyle w:val="Emphasis"/>
        </w:rPr>
        <w:t>Emer</w:t>
      </w:r>
      <w:r w:rsidR="006C5FF9">
        <w:rPr>
          <w:rStyle w:val="Emphasis"/>
        </w:rPr>
        <w:t>gency contact i</w:t>
      </w:r>
      <w:r w:rsidR="00B45BCD" w:rsidRPr="00B45BCD">
        <w:rPr>
          <w:rStyle w:val="Emphasis"/>
        </w:rPr>
        <w:t>nformation</w:t>
      </w:r>
    </w:p>
    <w:p w:rsidR="000E5051" w:rsidRPr="00745E03" w:rsidRDefault="000E5051" w:rsidP="00745E03">
      <w:pPr>
        <w:pStyle w:val="ListParagraph"/>
        <w:spacing w:after="0" w:line="360" w:lineRule="auto"/>
        <w:ind w:left="540"/>
        <w:rPr>
          <w:i/>
          <w:iCs/>
        </w:rPr>
      </w:pPr>
      <w:r>
        <w:t xml:space="preserve">Call </w:t>
      </w:r>
      <w:r w:rsidR="001C761B" w:rsidRPr="00CB2C93">
        <w:rPr>
          <w:highlight w:val="yellow"/>
        </w:rPr>
        <w:t>[]</w:t>
      </w:r>
    </w:p>
    <w:p w:rsidR="000E5051" w:rsidRDefault="000E5051" w:rsidP="000E5051">
      <w:pPr>
        <w:pStyle w:val="Heading2"/>
        <w:pBdr>
          <w:bottom w:val="double" w:sz="6" w:space="1" w:color="auto"/>
        </w:pBdr>
      </w:pPr>
      <w:r>
        <w:t>2. Hazard(s) Identification</w:t>
      </w:r>
    </w:p>
    <w:p w:rsidR="000E5051" w:rsidRDefault="000E5051" w:rsidP="000E5051">
      <w:pPr>
        <w:pStyle w:val="NoSpacing"/>
      </w:pPr>
    </w:p>
    <w:p w:rsidR="00B45BCD" w:rsidRDefault="00C13249" w:rsidP="00D64BFB">
      <w:pPr>
        <w:pStyle w:val="NoSpacing"/>
        <w:tabs>
          <w:tab w:val="left" w:pos="540"/>
        </w:tabs>
        <w:spacing w:line="360" w:lineRule="auto"/>
        <w:ind w:left="540" w:hanging="540"/>
      </w:pPr>
      <w:r w:rsidRPr="00907DE9">
        <w:rPr>
          <w:rStyle w:val="SubtleEmphasis"/>
        </w:rPr>
        <w:t>2.1</w:t>
      </w:r>
      <w:r>
        <w:t xml:space="preserve"> </w:t>
      </w:r>
      <w:r>
        <w:tab/>
      </w:r>
      <w:r w:rsidR="006C5FF9">
        <w:rPr>
          <w:rStyle w:val="Emphasis"/>
        </w:rPr>
        <w:t>Classification of the substance or m</w:t>
      </w:r>
      <w:r w:rsidR="00B45BCD" w:rsidRPr="00B45BCD">
        <w:rPr>
          <w:rStyle w:val="Emphasis"/>
        </w:rPr>
        <w:t>ixture</w:t>
      </w:r>
    </w:p>
    <w:p w:rsidR="00C13249" w:rsidRDefault="00B45BCD" w:rsidP="00D64BFB">
      <w:pPr>
        <w:pStyle w:val="NoSpacing"/>
        <w:tabs>
          <w:tab w:val="left" w:pos="540"/>
        </w:tabs>
        <w:spacing w:line="360" w:lineRule="auto"/>
        <w:ind w:left="540" w:hanging="540"/>
      </w:pPr>
      <w:r>
        <w:rPr>
          <w:rStyle w:val="SubtleEmphasis"/>
        </w:rPr>
        <w:tab/>
      </w:r>
      <w:r w:rsidR="00EE50A3">
        <w:t>While this</w:t>
      </w:r>
      <w:r w:rsidR="00C13249">
        <w:t xml:space="preserve"> material is not</w:t>
      </w:r>
      <w:r w:rsidR="00EE50A3">
        <w:t xml:space="preserve"> considered hazardous </w:t>
      </w:r>
      <w:r w:rsidR="00C13249">
        <w:t xml:space="preserve">according to </w:t>
      </w:r>
      <w:r w:rsidR="00EE50A3">
        <w:t xml:space="preserve">the </w:t>
      </w:r>
      <w:r w:rsidR="00C13249">
        <w:t>OSHA</w:t>
      </w:r>
      <w:r w:rsidR="00EE50A3">
        <w:t xml:space="preserve"> Hazard Communication Standard</w:t>
      </w:r>
      <w:r w:rsidR="00C13249">
        <w:t xml:space="preserve"> (29CFR 1910.1200)</w:t>
      </w:r>
      <w:r w:rsidR="00EE50A3">
        <w:t>, this SDS contains valuable information critical to the safe handling and proper use of the product.  This SDS should be retained and available</w:t>
      </w:r>
      <w:r w:rsidR="00C94170">
        <w:t>.</w:t>
      </w:r>
    </w:p>
    <w:p w:rsidR="00B45BCD" w:rsidRDefault="00C13249" w:rsidP="00907DE9">
      <w:pPr>
        <w:pStyle w:val="NoSpacing"/>
        <w:tabs>
          <w:tab w:val="left" w:pos="540"/>
        </w:tabs>
        <w:spacing w:line="360" w:lineRule="auto"/>
      </w:pPr>
      <w:r w:rsidRPr="00907DE9">
        <w:rPr>
          <w:rStyle w:val="SubtleEmphasis"/>
        </w:rPr>
        <w:t>2.2</w:t>
      </w:r>
      <w:r>
        <w:tab/>
      </w:r>
      <w:r w:rsidR="006C5FF9">
        <w:rPr>
          <w:rStyle w:val="Emphasis"/>
        </w:rPr>
        <w:t>Label e</w:t>
      </w:r>
      <w:r w:rsidR="00B45BCD" w:rsidRPr="00B45BCD">
        <w:rPr>
          <w:rStyle w:val="Emphasis"/>
        </w:rPr>
        <w:t>lements</w:t>
      </w:r>
    </w:p>
    <w:p w:rsidR="00C13249" w:rsidRDefault="00B45BCD" w:rsidP="00907DE9">
      <w:pPr>
        <w:pStyle w:val="NoSpacing"/>
        <w:tabs>
          <w:tab w:val="left" w:pos="540"/>
        </w:tabs>
        <w:spacing w:line="360" w:lineRule="auto"/>
      </w:pPr>
      <w:r>
        <w:tab/>
      </w:r>
      <w:r w:rsidR="00C13249">
        <w:t>Hazard statements and symbols/Precautionary statements:  None</w:t>
      </w:r>
    </w:p>
    <w:p w:rsidR="00C13249" w:rsidRDefault="00C13249" w:rsidP="00907DE9">
      <w:pPr>
        <w:pStyle w:val="NoSpacing"/>
        <w:tabs>
          <w:tab w:val="left" w:pos="540"/>
        </w:tabs>
        <w:spacing w:line="360" w:lineRule="auto"/>
        <w:rPr>
          <w:rStyle w:val="Emphasis"/>
        </w:rPr>
      </w:pPr>
      <w:r w:rsidRPr="00907DE9">
        <w:rPr>
          <w:rStyle w:val="SubtleEmphasis"/>
        </w:rPr>
        <w:t>2.3</w:t>
      </w:r>
      <w:r>
        <w:tab/>
      </w:r>
      <w:r w:rsidRPr="00B45BCD">
        <w:rPr>
          <w:rStyle w:val="Emphasis"/>
        </w:rPr>
        <w:t>Other hazards</w:t>
      </w:r>
    </w:p>
    <w:p w:rsidR="00710923" w:rsidRPr="00027C40" w:rsidRDefault="00710923" w:rsidP="00710923">
      <w:pPr>
        <w:pStyle w:val="NoSpacing"/>
        <w:tabs>
          <w:tab w:val="left" w:pos="540"/>
        </w:tabs>
        <w:spacing w:line="360" w:lineRule="auto"/>
        <w:rPr>
          <w:rFonts w:ascii="Arial" w:hAnsi="Arial"/>
          <w:b/>
          <w:sz w:val="18"/>
        </w:rPr>
      </w:pPr>
      <w:r>
        <w:rPr>
          <w:rStyle w:val="Emphasis"/>
        </w:rPr>
        <w:tab/>
      </w:r>
      <w:r w:rsidRPr="00BA047E">
        <w:rPr>
          <w:rStyle w:val="IntenseEmphasis"/>
        </w:rPr>
        <w:t>Emergency Overview</w:t>
      </w:r>
    </w:p>
    <w:p w:rsidR="00710923" w:rsidRPr="00027C40" w:rsidRDefault="00710923" w:rsidP="00710923">
      <w:pPr>
        <w:pStyle w:val="NoSpacing"/>
        <w:ind w:left="540"/>
        <w:jc w:val="both"/>
      </w:pPr>
      <w:r w:rsidRPr="00027C40">
        <w:rPr>
          <w:b/>
        </w:rPr>
        <w:t>Acute:</w:t>
      </w:r>
      <w:r w:rsidRPr="00027C40">
        <w:t xml:space="preserve"> Fumes from hot work on or near polyurethane products can be irritating and lead to coughing. These fumes could contain traces of TDI, MDI, other isocyanates, and/or </w:t>
      </w:r>
      <w:r w:rsidR="00667F21">
        <w:t>MBOCA</w:t>
      </w:r>
      <w:r w:rsidRPr="00027C40">
        <w:t xml:space="preserve">. Skin or airborne exposure to isocyanates may produce an asthma-like lung sensitization, with shortness of breath, wheezing or cough, which may occur after re-exposure to very low levels. Skin contact with some polyurethane products may result in skin sensitization or an asthma-like lung sensitization.  </w:t>
      </w:r>
      <w:r w:rsidRPr="00027C40">
        <w:rPr>
          <w:b/>
        </w:rPr>
        <w:t>Chronic:</w:t>
      </w:r>
      <w:r w:rsidRPr="00027C40">
        <w:t xml:space="preserve"> Animal studies indicate that chronic inhalation or overexposure of dusts may cause inflammation of the lungs, fibrosis, and airway destruction. </w:t>
      </w:r>
    </w:p>
    <w:p w:rsidR="00710923" w:rsidRPr="00027C40" w:rsidRDefault="00710923" w:rsidP="00710923">
      <w:pPr>
        <w:pStyle w:val="NoSpacing"/>
        <w:jc w:val="both"/>
      </w:pPr>
    </w:p>
    <w:p w:rsidR="00710923" w:rsidRPr="00710923" w:rsidRDefault="00710923" w:rsidP="00710923">
      <w:pPr>
        <w:pStyle w:val="NoSpacing"/>
        <w:ind w:left="540"/>
        <w:jc w:val="both"/>
        <w:rPr>
          <w:b/>
          <w:sz w:val="24"/>
        </w:rPr>
      </w:pPr>
      <w:r w:rsidRPr="00710923">
        <w:rPr>
          <w:b/>
        </w:rPr>
        <w:t>Severe Immediate Hazards</w:t>
      </w:r>
    </w:p>
    <w:p w:rsidR="00710923" w:rsidRPr="00027C40" w:rsidRDefault="00710923" w:rsidP="00710923">
      <w:pPr>
        <w:pStyle w:val="NoSpacing"/>
        <w:ind w:left="540"/>
        <w:jc w:val="both"/>
      </w:pPr>
      <w:r w:rsidRPr="00027C40">
        <w:t>Dusts from grinding operations may aggravate existing lung disorders when proper protection is not used.</w:t>
      </w:r>
    </w:p>
    <w:p w:rsidR="00710923" w:rsidRPr="00027C40" w:rsidRDefault="00710923" w:rsidP="00710923">
      <w:pPr>
        <w:pStyle w:val="NoSpacing"/>
        <w:ind w:left="540"/>
        <w:jc w:val="both"/>
      </w:pPr>
    </w:p>
    <w:p w:rsidR="00710923" w:rsidRPr="00710923" w:rsidRDefault="00710923" w:rsidP="00710923">
      <w:pPr>
        <w:pStyle w:val="NoSpacing"/>
        <w:ind w:left="540"/>
        <w:jc w:val="both"/>
        <w:rPr>
          <w:b/>
          <w:sz w:val="28"/>
        </w:rPr>
      </w:pPr>
      <w:r w:rsidRPr="00710923">
        <w:rPr>
          <w:b/>
        </w:rPr>
        <w:lastRenderedPageBreak/>
        <w:t>OSHA Regulatory Status</w:t>
      </w:r>
    </w:p>
    <w:p w:rsidR="00710923" w:rsidRPr="00710923" w:rsidRDefault="00710923" w:rsidP="00710923">
      <w:pPr>
        <w:pStyle w:val="NoSpacing"/>
        <w:ind w:left="540"/>
        <w:jc w:val="both"/>
      </w:pPr>
      <w:r w:rsidRPr="00027C40">
        <w:t>POLYURETHANE ELASTOMERS ARE FULLY REACTED POLYMERS FORMING ARTICLES WHICH ARE NOT CONSIDERED HAZARDOUS UNDER OSHA’s CRITERIA 29 CFR 1910.1200. HOWEVER, HAZARDOUS DUSTS, VAPORS, GASES, OR FUMES MAY BE RELEASED BY MECHANICAL OR THERMAL PROCESSING, OR BY THERMAL DECOMPOSITION</w:t>
      </w:r>
    </w:p>
    <w:p w:rsidR="00907DE9" w:rsidRDefault="00907DE9" w:rsidP="00907DE9">
      <w:pPr>
        <w:pStyle w:val="NoSpacing"/>
        <w:tabs>
          <w:tab w:val="left" w:pos="540"/>
        </w:tabs>
      </w:pPr>
    </w:p>
    <w:p w:rsidR="00907DE9" w:rsidRDefault="00907DE9" w:rsidP="00907DE9">
      <w:pPr>
        <w:pStyle w:val="Heading2"/>
        <w:pBdr>
          <w:bottom w:val="double" w:sz="6" w:space="1" w:color="auto"/>
        </w:pBdr>
      </w:pPr>
      <w:r>
        <w:t>3. Composition/Information on ingredients</w:t>
      </w:r>
    </w:p>
    <w:p w:rsidR="003F19BD" w:rsidRDefault="003F19BD" w:rsidP="003F19BD">
      <w:pPr>
        <w:pStyle w:val="NoSpacing"/>
        <w:tabs>
          <w:tab w:val="left" w:pos="540"/>
        </w:tabs>
      </w:pPr>
    </w:p>
    <w:tbl>
      <w:tblPr>
        <w:tblStyle w:val="LightGrid-Accent1"/>
        <w:tblW w:w="0" w:type="auto"/>
        <w:jc w:val="center"/>
        <w:tblLook w:val="04A0" w:firstRow="1" w:lastRow="0" w:firstColumn="1" w:lastColumn="0" w:noHBand="0" w:noVBand="1"/>
      </w:tblPr>
      <w:tblGrid>
        <w:gridCol w:w="2628"/>
        <w:gridCol w:w="2880"/>
        <w:gridCol w:w="1674"/>
        <w:gridCol w:w="2394"/>
      </w:tblGrid>
      <w:tr w:rsidR="003F19BD" w:rsidTr="003343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rsidR="003F19BD" w:rsidRDefault="003F19BD" w:rsidP="003F19BD">
            <w:pPr>
              <w:pStyle w:val="NoSpacing"/>
              <w:tabs>
                <w:tab w:val="left" w:pos="540"/>
              </w:tabs>
              <w:jc w:val="center"/>
            </w:pPr>
            <w:r>
              <w:t>Component</w:t>
            </w:r>
          </w:p>
        </w:tc>
        <w:tc>
          <w:tcPr>
            <w:tcW w:w="2880" w:type="dxa"/>
          </w:tcPr>
          <w:p w:rsidR="003F19BD" w:rsidRDefault="003F19BD" w:rsidP="003F19BD">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Synonyms</w:t>
            </w:r>
          </w:p>
        </w:tc>
        <w:tc>
          <w:tcPr>
            <w:tcW w:w="1674" w:type="dxa"/>
          </w:tcPr>
          <w:p w:rsidR="003F19BD" w:rsidRDefault="003F19BD" w:rsidP="003F19BD">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CAS#</w:t>
            </w:r>
          </w:p>
        </w:tc>
        <w:tc>
          <w:tcPr>
            <w:tcW w:w="2394" w:type="dxa"/>
          </w:tcPr>
          <w:p w:rsidR="003F19BD" w:rsidRDefault="003F19BD" w:rsidP="003F19BD">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Concentration (wt%)</w:t>
            </w:r>
          </w:p>
        </w:tc>
      </w:tr>
      <w:tr w:rsidR="003F19BD" w:rsidTr="00334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rsidR="003F19BD" w:rsidRDefault="00710923" w:rsidP="003F19BD">
            <w:pPr>
              <w:pStyle w:val="NoSpacing"/>
              <w:tabs>
                <w:tab w:val="left" w:pos="540"/>
              </w:tabs>
              <w:jc w:val="center"/>
            </w:pPr>
            <w:r>
              <w:t>Cast polyurethane</w:t>
            </w:r>
          </w:p>
        </w:tc>
        <w:tc>
          <w:tcPr>
            <w:tcW w:w="2880" w:type="dxa"/>
          </w:tcPr>
          <w:p w:rsidR="003F19BD" w:rsidRDefault="003F19BD" w:rsidP="003F19BD">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pPr>
          </w:p>
        </w:tc>
        <w:tc>
          <w:tcPr>
            <w:tcW w:w="1674" w:type="dxa"/>
          </w:tcPr>
          <w:p w:rsidR="003F19BD" w:rsidRDefault="00710923" w:rsidP="003F19BD">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pPr>
            <w:r>
              <w:t>n/a</w:t>
            </w:r>
          </w:p>
        </w:tc>
        <w:tc>
          <w:tcPr>
            <w:tcW w:w="2394" w:type="dxa"/>
          </w:tcPr>
          <w:p w:rsidR="003F19BD" w:rsidRDefault="00E168E6" w:rsidP="003F19BD">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pPr>
            <w:r>
              <w:t>&gt;99.9</w:t>
            </w:r>
            <w:r w:rsidR="00710923">
              <w:t>%</w:t>
            </w:r>
          </w:p>
        </w:tc>
      </w:tr>
      <w:tr w:rsidR="00E168E6" w:rsidTr="003343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rsidR="00E168E6" w:rsidRDefault="00E168E6" w:rsidP="003F19BD">
            <w:pPr>
              <w:pStyle w:val="NoSpacing"/>
              <w:tabs>
                <w:tab w:val="left" w:pos="540"/>
              </w:tabs>
              <w:jc w:val="center"/>
            </w:pPr>
            <w:r>
              <w:t>4,4’ methylene bis (2-chloroaniline)</w:t>
            </w:r>
          </w:p>
        </w:tc>
        <w:tc>
          <w:tcPr>
            <w:tcW w:w="2880" w:type="dxa"/>
          </w:tcPr>
          <w:p w:rsidR="00E168E6" w:rsidRDefault="00E168E6" w:rsidP="003F19BD">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pPr>
            <w:r>
              <w:t>MBOCA or MOCA</w:t>
            </w:r>
          </w:p>
        </w:tc>
        <w:tc>
          <w:tcPr>
            <w:tcW w:w="1674" w:type="dxa"/>
          </w:tcPr>
          <w:p w:rsidR="00E168E6" w:rsidRDefault="00E168E6" w:rsidP="003F19BD">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pPr>
            <w:r>
              <w:t>104-14-4</w:t>
            </w:r>
          </w:p>
        </w:tc>
        <w:tc>
          <w:tcPr>
            <w:tcW w:w="2394" w:type="dxa"/>
          </w:tcPr>
          <w:p w:rsidR="00E168E6" w:rsidRDefault="00CB2C93" w:rsidP="003F19BD">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pPr>
            <w:r>
              <w:t>&lt;0.1%</w:t>
            </w:r>
          </w:p>
        </w:tc>
      </w:tr>
    </w:tbl>
    <w:p w:rsidR="00745E03" w:rsidRDefault="00745E03" w:rsidP="00745E03">
      <w:pPr>
        <w:pStyle w:val="NoSpacing"/>
      </w:pPr>
    </w:p>
    <w:p w:rsidR="00907DE9" w:rsidRDefault="00D64BFB" w:rsidP="00041D4B">
      <w:pPr>
        <w:pStyle w:val="Heading2"/>
        <w:pBdr>
          <w:bottom w:val="double" w:sz="6" w:space="1" w:color="auto"/>
        </w:pBdr>
      </w:pPr>
      <w:r>
        <w:t>4. First aid measures</w:t>
      </w:r>
    </w:p>
    <w:p w:rsidR="00D64BFB" w:rsidRDefault="00D64BFB" w:rsidP="007323BC">
      <w:pPr>
        <w:pStyle w:val="NoSpacing"/>
        <w:tabs>
          <w:tab w:val="left" w:pos="540"/>
        </w:tabs>
      </w:pPr>
    </w:p>
    <w:p w:rsidR="00334331" w:rsidRPr="00B45BCD" w:rsidRDefault="00041D4B" w:rsidP="00334331">
      <w:pPr>
        <w:pStyle w:val="NoSpacing"/>
        <w:tabs>
          <w:tab w:val="left" w:pos="540"/>
        </w:tabs>
        <w:spacing w:line="360" w:lineRule="auto"/>
        <w:rPr>
          <w:rStyle w:val="Emphasis"/>
        </w:rPr>
      </w:pPr>
      <w:r w:rsidRPr="00424C9E">
        <w:rPr>
          <w:rStyle w:val="SubtleEmphasis"/>
        </w:rPr>
        <w:t>4.1</w:t>
      </w:r>
      <w:r w:rsidR="006C5FF9">
        <w:rPr>
          <w:rStyle w:val="Emphasis"/>
        </w:rPr>
        <w:t xml:space="preserve"> Description of the first aid m</w:t>
      </w:r>
      <w:r w:rsidR="00B45BCD">
        <w:rPr>
          <w:rStyle w:val="Emphasis"/>
        </w:rPr>
        <w:t>easures</w:t>
      </w:r>
    </w:p>
    <w:tbl>
      <w:tblPr>
        <w:tblStyle w:val="LightGrid-Accent1"/>
        <w:tblW w:w="0" w:type="auto"/>
        <w:tblLook w:val="04A0" w:firstRow="1" w:lastRow="0" w:firstColumn="1" w:lastColumn="0" w:noHBand="0" w:noVBand="1"/>
      </w:tblPr>
      <w:tblGrid>
        <w:gridCol w:w="2088"/>
        <w:gridCol w:w="7488"/>
      </w:tblGrid>
      <w:tr w:rsidR="00334331" w:rsidTr="00334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34331" w:rsidRDefault="00334331" w:rsidP="007323BC">
            <w:pPr>
              <w:pStyle w:val="NoSpacing"/>
              <w:tabs>
                <w:tab w:val="left" w:pos="540"/>
              </w:tabs>
            </w:pPr>
            <w:r>
              <w:t>Route of Exposure</w:t>
            </w:r>
          </w:p>
        </w:tc>
        <w:tc>
          <w:tcPr>
            <w:tcW w:w="7488" w:type="dxa"/>
          </w:tcPr>
          <w:p w:rsidR="00334331" w:rsidRDefault="00334331" w:rsidP="007323BC">
            <w:pPr>
              <w:pStyle w:val="NoSpacing"/>
              <w:tabs>
                <w:tab w:val="left" w:pos="540"/>
              </w:tabs>
              <w:cnfStyle w:val="100000000000" w:firstRow="1" w:lastRow="0" w:firstColumn="0" w:lastColumn="0" w:oddVBand="0" w:evenVBand="0" w:oddHBand="0" w:evenHBand="0" w:firstRowFirstColumn="0" w:firstRowLastColumn="0" w:lastRowFirstColumn="0" w:lastRowLastColumn="0"/>
            </w:pPr>
            <w:r>
              <w:t>Instructions</w:t>
            </w:r>
          </w:p>
        </w:tc>
      </w:tr>
      <w:tr w:rsidR="00334331" w:rsidTr="00270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Inhalation</w:t>
            </w:r>
          </w:p>
        </w:tc>
        <w:tc>
          <w:tcPr>
            <w:tcW w:w="7488" w:type="dxa"/>
          </w:tcPr>
          <w:p w:rsidR="00334331" w:rsidRDefault="005A23F6" w:rsidP="00270B1A">
            <w:pPr>
              <w:pStyle w:val="NoSpacing"/>
              <w:tabs>
                <w:tab w:val="left" w:pos="540"/>
              </w:tabs>
              <w:cnfStyle w:val="000000100000" w:firstRow="0" w:lastRow="0" w:firstColumn="0" w:lastColumn="0" w:oddVBand="0" w:evenVBand="0" w:oddHBand="1" w:evenHBand="0" w:firstRowFirstColumn="0" w:firstRowLastColumn="0" w:lastRowFirstColumn="0" w:lastRowLastColumn="0"/>
            </w:pPr>
            <w:r>
              <w:t>Move to an area free from the risk of further exposure.  If not breathing</w:t>
            </w:r>
            <w:r w:rsidR="00710923">
              <w:t>, or</w:t>
            </w:r>
            <w:r w:rsidR="00270B1A">
              <w:t xml:space="preserve"> breathing is difficult, obtain medical attention.</w:t>
            </w:r>
          </w:p>
        </w:tc>
      </w:tr>
      <w:tr w:rsidR="00334331" w:rsidTr="00270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Eye Contact</w:t>
            </w:r>
          </w:p>
        </w:tc>
        <w:tc>
          <w:tcPr>
            <w:tcW w:w="7488" w:type="dxa"/>
          </w:tcPr>
          <w:p w:rsidR="00334331" w:rsidRDefault="00710923" w:rsidP="00710923">
            <w:pPr>
              <w:pStyle w:val="NoSpacing"/>
              <w:tabs>
                <w:tab w:val="left" w:pos="540"/>
              </w:tabs>
              <w:cnfStyle w:val="000000010000" w:firstRow="0" w:lastRow="0" w:firstColumn="0" w:lastColumn="0" w:oddVBand="0" w:evenVBand="0" w:oddHBand="0" w:evenHBand="1" w:firstRowFirstColumn="0" w:firstRowLastColumn="0" w:lastRowFirstColumn="0" w:lastRowLastColumn="0"/>
            </w:pPr>
            <w:r>
              <w:t>If dust from grinding causes irritation, r</w:t>
            </w:r>
            <w:r w:rsidR="00270B1A">
              <w:t>ins</w:t>
            </w:r>
            <w:r w:rsidR="00424C9E">
              <w:t xml:space="preserve">e with water immediately for </w:t>
            </w:r>
            <w:r w:rsidR="00270B1A">
              <w:t>5 minutes.  Seek medical attention</w:t>
            </w:r>
            <w:r>
              <w:t xml:space="preserve"> if irritation persists</w:t>
            </w:r>
            <w:r w:rsidR="00270B1A">
              <w:t>.</w:t>
            </w:r>
          </w:p>
        </w:tc>
      </w:tr>
      <w:tr w:rsidR="00334331" w:rsidTr="00270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Skin Contact</w:t>
            </w:r>
          </w:p>
        </w:tc>
        <w:tc>
          <w:tcPr>
            <w:tcW w:w="7488" w:type="dxa"/>
          </w:tcPr>
          <w:p w:rsidR="00334331" w:rsidRDefault="00710923" w:rsidP="007323BC">
            <w:pPr>
              <w:pStyle w:val="NoSpacing"/>
              <w:tabs>
                <w:tab w:val="left" w:pos="540"/>
              </w:tabs>
              <w:cnfStyle w:val="000000100000" w:firstRow="0" w:lastRow="0" w:firstColumn="0" w:lastColumn="0" w:oddVBand="0" w:evenVBand="0" w:oddHBand="1" w:evenHBand="0" w:firstRowFirstColumn="0" w:firstRowLastColumn="0" w:lastRowFirstColumn="0" w:lastRowLastColumn="0"/>
            </w:pPr>
            <w:r>
              <w:t>Wash exposed skin with soap and water.</w:t>
            </w:r>
          </w:p>
        </w:tc>
      </w:tr>
      <w:tr w:rsidR="00334331" w:rsidTr="00270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Ingestion</w:t>
            </w:r>
          </w:p>
        </w:tc>
        <w:tc>
          <w:tcPr>
            <w:tcW w:w="7488" w:type="dxa"/>
          </w:tcPr>
          <w:p w:rsidR="00334331" w:rsidRDefault="00710923" w:rsidP="007323BC">
            <w:pPr>
              <w:pStyle w:val="NoSpacing"/>
              <w:tabs>
                <w:tab w:val="left" w:pos="540"/>
              </w:tabs>
              <w:cnfStyle w:val="000000010000" w:firstRow="0" w:lastRow="0" w:firstColumn="0" w:lastColumn="0" w:oddVBand="0" w:evenVBand="0" w:oddHBand="0" w:evenHBand="1" w:firstRowFirstColumn="0" w:firstRowLastColumn="0" w:lastRowFirstColumn="0" w:lastRowLastColumn="0"/>
            </w:pPr>
            <w:r>
              <w:t>Not a route of exposure.</w:t>
            </w:r>
          </w:p>
        </w:tc>
      </w:tr>
    </w:tbl>
    <w:p w:rsidR="00270B1A" w:rsidRDefault="00270B1A" w:rsidP="007323BC">
      <w:pPr>
        <w:pStyle w:val="NoSpacing"/>
        <w:tabs>
          <w:tab w:val="left" w:pos="540"/>
        </w:tabs>
      </w:pPr>
    </w:p>
    <w:p w:rsidR="00424C9E" w:rsidRPr="00353E4E" w:rsidRDefault="00270B1A" w:rsidP="00745E03">
      <w:pPr>
        <w:pStyle w:val="NoSpacing"/>
        <w:tabs>
          <w:tab w:val="left" w:pos="540"/>
        </w:tabs>
        <w:spacing w:line="360" w:lineRule="auto"/>
        <w:rPr>
          <w:rStyle w:val="Emphasis"/>
        </w:rPr>
      </w:pPr>
      <w:r w:rsidRPr="007D0001">
        <w:rPr>
          <w:rStyle w:val="SubtleEmphasis"/>
        </w:rPr>
        <w:t>4.2</w:t>
      </w:r>
      <w:r w:rsidR="008530D8">
        <w:tab/>
      </w:r>
      <w:r w:rsidR="006C5FF9">
        <w:rPr>
          <w:rStyle w:val="Emphasis"/>
        </w:rPr>
        <w:t>Most i</w:t>
      </w:r>
      <w:r w:rsidR="008530D8" w:rsidRPr="00353E4E">
        <w:rPr>
          <w:rStyle w:val="Emphasis"/>
        </w:rPr>
        <w:t>mportant</w:t>
      </w:r>
      <w:r w:rsidR="006C5FF9">
        <w:rPr>
          <w:rStyle w:val="Emphasis"/>
        </w:rPr>
        <w:t xml:space="preserve"> symptoms and effects, both acute and d</w:t>
      </w:r>
      <w:r w:rsidR="008530D8" w:rsidRPr="00353E4E">
        <w:rPr>
          <w:rStyle w:val="Emphasis"/>
        </w:rPr>
        <w:t>elayed</w:t>
      </w:r>
    </w:p>
    <w:p w:rsidR="008530D8" w:rsidRDefault="008530D8" w:rsidP="00745E03">
      <w:pPr>
        <w:pStyle w:val="NoSpacing"/>
        <w:tabs>
          <w:tab w:val="left" w:pos="540"/>
        </w:tabs>
        <w:spacing w:line="360" w:lineRule="auto"/>
      </w:pPr>
      <w:r>
        <w:tab/>
      </w:r>
      <w:r w:rsidR="00353E4E" w:rsidRPr="00CF5A0B">
        <w:rPr>
          <w:rStyle w:val="IntenseEmphasis"/>
        </w:rPr>
        <w:t>Acute</w:t>
      </w:r>
      <w:r w:rsidRPr="00CF5A0B">
        <w:rPr>
          <w:rStyle w:val="IntenseEmphasis"/>
        </w:rPr>
        <w:t>:</w:t>
      </w:r>
      <w:r>
        <w:t xml:space="preserve"> </w:t>
      </w:r>
      <w:r w:rsidR="00710923">
        <w:t xml:space="preserve"> None</w:t>
      </w:r>
    </w:p>
    <w:p w:rsidR="00353E4E" w:rsidRDefault="00353E4E" w:rsidP="00745E03">
      <w:pPr>
        <w:pStyle w:val="NoSpacing"/>
        <w:tabs>
          <w:tab w:val="left" w:pos="540"/>
        </w:tabs>
        <w:spacing w:line="360" w:lineRule="auto"/>
      </w:pPr>
      <w:r>
        <w:tab/>
      </w:r>
      <w:r w:rsidRPr="00CF5A0B">
        <w:rPr>
          <w:rStyle w:val="IntenseEmphasis"/>
        </w:rPr>
        <w:t>Delayed</w:t>
      </w:r>
      <w:r w:rsidR="007D0001" w:rsidRPr="00CF5A0B">
        <w:rPr>
          <w:rStyle w:val="IntenseEmphasis"/>
        </w:rPr>
        <w:t>:</w:t>
      </w:r>
      <w:r w:rsidR="007D0001">
        <w:t xml:space="preserve"> Sensitizing effects</w:t>
      </w:r>
      <w:r w:rsidR="00710923">
        <w:t xml:space="preserve"> possible from dusts/fumes</w:t>
      </w:r>
    </w:p>
    <w:p w:rsidR="00424C9E" w:rsidRDefault="00424C9E" w:rsidP="00745E03">
      <w:pPr>
        <w:pStyle w:val="NoSpacing"/>
        <w:tabs>
          <w:tab w:val="left" w:pos="540"/>
        </w:tabs>
        <w:spacing w:line="360" w:lineRule="auto"/>
      </w:pPr>
    </w:p>
    <w:p w:rsidR="00353E4E" w:rsidRDefault="00353E4E" w:rsidP="00745E03">
      <w:pPr>
        <w:pStyle w:val="NoSpacing"/>
        <w:tabs>
          <w:tab w:val="left" w:pos="540"/>
        </w:tabs>
        <w:spacing w:line="360" w:lineRule="auto"/>
      </w:pPr>
      <w:r w:rsidRPr="007D0001">
        <w:rPr>
          <w:rStyle w:val="SubtleEmphasis"/>
        </w:rPr>
        <w:t>4.3</w:t>
      </w:r>
      <w:r>
        <w:tab/>
      </w:r>
      <w:r w:rsidRPr="007D0001">
        <w:rPr>
          <w:rStyle w:val="Emphasis"/>
        </w:rPr>
        <w:t xml:space="preserve">Indication of any immediate </w:t>
      </w:r>
      <w:r w:rsidR="006C5FF9" w:rsidRPr="007D0001">
        <w:rPr>
          <w:rStyle w:val="Emphasis"/>
        </w:rPr>
        <w:t>medical attention and special treatment needed</w:t>
      </w:r>
    </w:p>
    <w:p w:rsidR="007B45F9" w:rsidRDefault="007D0001" w:rsidP="007B45F9">
      <w:pPr>
        <w:pStyle w:val="NoSpacing"/>
        <w:tabs>
          <w:tab w:val="left" w:pos="540"/>
        </w:tabs>
        <w:spacing w:line="360" w:lineRule="auto"/>
      </w:pPr>
      <w:r>
        <w:tab/>
      </w:r>
      <w:r w:rsidR="00E86014">
        <w:t>No antidotes known</w:t>
      </w:r>
    </w:p>
    <w:p w:rsidR="007B45F9" w:rsidRDefault="007B45F9" w:rsidP="00424C9E">
      <w:pPr>
        <w:pStyle w:val="Heading2"/>
        <w:pBdr>
          <w:bottom w:val="double" w:sz="6" w:space="1" w:color="auto"/>
        </w:pBdr>
      </w:pPr>
    </w:p>
    <w:p w:rsidR="00424C9E" w:rsidRDefault="00424C9E" w:rsidP="00424C9E">
      <w:pPr>
        <w:pStyle w:val="Heading2"/>
        <w:pBdr>
          <w:bottom w:val="double" w:sz="6" w:space="1" w:color="auto"/>
        </w:pBdr>
      </w:pPr>
      <w:r>
        <w:t>5. Fire Fighting Measures</w:t>
      </w:r>
    </w:p>
    <w:p w:rsidR="00424C9E" w:rsidRDefault="00424C9E" w:rsidP="007323BC">
      <w:pPr>
        <w:pStyle w:val="NoSpacing"/>
        <w:tabs>
          <w:tab w:val="left" w:pos="540"/>
        </w:tabs>
      </w:pPr>
    </w:p>
    <w:p w:rsidR="00424C9E" w:rsidRDefault="007D0001" w:rsidP="00745E03">
      <w:pPr>
        <w:pStyle w:val="NoSpacing"/>
        <w:tabs>
          <w:tab w:val="left" w:pos="540"/>
        </w:tabs>
        <w:spacing w:line="360" w:lineRule="auto"/>
      </w:pPr>
      <w:r w:rsidRPr="007D0001">
        <w:rPr>
          <w:rStyle w:val="SubtleEmphasis"/>
        </w:rPr>
        <w:t>5.1</w:t>
      </w:r>
      <w:r>
        <w:tab/>
      </w:r>
      <w:r w:rsidRPr="007D0001">
        <w:rPr>
          <w:rStyle w:val="Emphasis"/>
        </w:rPr>
        <w:t>Extinguishing media</w:t>
      </w:r>
    </w:p>
    <w:p w:rsidR="007D0001" w:rsidRDefault="007D0001" w:rsidP="00745E03">
      <w:pPr>
        <w:pStyle w:val="NoSpacing"/>
        <w:tabs>
          <w:tab w:val="left" w:pos="540"/>
        </w:tabs>
        <w:spacing w:line="360" w:lineRule="auto"/>
      </w:pPr>
      <w:r>
        <w:tab/>
        <w:t>Suitable media includes carbon dioxide, dry chemical</w:t>
      </w:r>
      <w:r w:rsidR="00016384">
        <w:t>, foam</w:t>
      </w:r>
      <w:r>
        <w:t>, or water spray.</w:t>
      </w:r>
    </w:p>
    <w:p w:rsidR="007D0001" w:rsidRDefault="007D0001" w:rsidP="00745E03">
      <w:pPr>
        <w:pStyle w:val="NoSpacing"/>
        <w:tabs>
          <w:tab w:val="left" w:pos="540"/>
        </w:tabs>
        <w:spacing w:line="360" w:lineRule="auto"/>
      </w:pPr>
    </w:p>
    <w:p w:rsidR="007D0001" w:rsidRDefault="007D0001" w:rsidP="00745E03">
      <w:pPr>
        <w:pStyle w:val="NoSpacing"/>
        <w:tabs>
          <w:tab w:val="left" w:pos="540"/>
        </w:tabs>
        <w:spacing w:line="360" w:lineRule="auto"/>
        <w:rPr>
          <w:rStyle w:val="Emphasis"/>
        </w:rPr>
      </w:pPr>
      <w:r>
        <w:rPr>
          <w:rStyle w:val="SubtleEmphasis"/>
        </w:rPr>
        <w:lastRenderedPageBreak/>
        <w:t>5.2</w:t>
      </w:r>
      <w:r>
        <w:tab/>
      </w:r>
      <w:r>
        <w:rPr>
          <w:rStyle w:val="Emphasis"/>
        </w:rPr>
        <w:t>Special hazards arising from the substance or mixture</w:t>
      </w:r>
    </w:p>
    <w:p w:rsidR="00745E03" w:rsidRDefault="007D0001" w:rsidP="00745E03">
      <w:pPr>
        <w:pStyle w:val="NoSpacing"/>
        <w:tabs>
          <w:tab w:val="left" w:pos="540"/>
        </w:tabs>
        <w:spacing w:line="360" w:lineRule="auto"/>
        <w:ind w:left="540"/>
      </w:pPr>
      <w:r>
        <w:t>Toxic and/or irritating fumes can be produced</w:t>
      </w:r>
      <w:r w:rsidR="00745E03">
        <w:t xml:space="preserve"> during burning of this material.  Decomposition products may be hazardous (see section 10 for details on decomposition products).</w:t>
      </w:r>
    </w:p>
    <w:p w:rsidR="00745E03" w:rsidRDefault="00745E03" w:rsidP="00745E03">
      <w:pPr>
        <w:pStyle w:val="NoSpacing"/>
        <w:tabs>
          <w:tab w:val="left" w:pos="540"/>
        </w:tabs>
        <w:spacing w:line="360" w:lineRule="auto"/>
      </w:pPr>
    </w:p>
    <w:p w:rsidR="00745E03" w:rsidRDefault="00745E03" w:rsidP="00745E03">
      <w:pPr>
        <w:pStyle w:val="NoSpacing"/>
        <w:tabs>
          <w:tab w:val="left" w:pos="540"/>
        </w:tabs>
        <w:spacing w:line="360" w:lineRule="auto"/>
      </w:pPr>
      <w:r w:rsidRPr="00745E03">
        <w:rPr>
          <w:rStyle w:val="SubtleEmphasis"/>
        </w:rPr>
        <w:t>5.3</w:t>
      </w:r>
      <w:r>
        <w:tab/>
      </w:r>
      <w:r w:rsidRPr="00745E03">
        <w:rPr>
          <w:rStyle w:val="Emphasis"/>
        </w:rPr>
        <w:t xml:space="preserve">Advice for </w:t>
      </w:r>
      <w:r w:rsidR="00AF78E8">
        <w:rPr>
          <w:rStyle w:val="Emphasis"/>
        </w:rPr>
        <w:t>f</w:t>
      </w:r>
      <w:r w:rsidRPr="00745E03">
        <w:rPr>
          <w:rStyle w:val="Emphasis"/>
        </w:rPr>
        <w:t>irefighters</w:t>
      </w:r>
    </w:p>
    <w:p w:rsidR="00745E03" w:rsidRDefault="00745E03" w:rsidP="00745E03">
      <w:pPr>
        <w:pStyle w:val="NoSpacing"/>
        <w:tabs>
          <w:tab w:val="left" w:pos="540"/>
        </w:tabs>
        <w:spacing w:line="360" w:lineRule="auto"/>
        <w:ind w:left="540"/>
      </w:pPr>
      <w:r>
        <w:t>Firefighters should wear self-contained breathing apparatus and full protective clothing.  Downwind personnel should be evacuated.  Do not reseal contaminated containers as pressure buildup may rupture them.</w:t>
      </w:r>
    </w:p>
    <w:p w:rsidR="007D0001" w:rsidRPr="0000199E" w:rsidRDefault="007D0001" w:rsidP="0000199E">
      <w:pPr>
        <w:pStyle w:val="NoSpacing"/>
      </w:pPr>
    </w:p>
    <w:p w:rsidR="00424C9E" w:rsidRDefault="00424C9E" w:rsidP="00D7558A">
      <w:pPr>
        <w:pStyle w:val="Heading2"/>
        <w:pBdr>
          <w:bottom w:val="double" w:sz="6" w:space="2" w:color="auto"/>
        </w:pBdr>
      </w:pPr>
      <w:r>
        <w:t>6. Accidental Release Measures</w:t>
      </w:r>
    </w:p>
    <w:p w:rsidR="00424C9E" w:rsidRDefault="00424C9E" w:rsidP="007323BC">
      <w:pPr>
        <w:pStyle w:val="NoSpacing"/>
        <w:tabs>
          <w:tab w:val="left" w:pos="540"/>
        </w:tabs>
      </w:pPr>
    </w:p>
    <w:p w:rsidR="00424C9E" w:rsidRDefault="00E04356" w:rsidP="004306CE">
      <w:pPr>
        <w:pStyle w:val="NoSpacing"/>
        <w:tabs>
          <w:tab w:val="left" w:pos="540"/>
        </w:tabs>
        <w:spacing w:line="360" w:lineRule="auto"/>
      </w:pPr>
      <w:r w:rsidRPr="006A0931">
        <w:rPr>
          <w:rStyle w:val="SubtleEmphasis"/>
        </w:rPr>
        <w:t>6.1</w:t>
      </w:r>
      <w:r>
        <w:tab/>
      </w:r>
      <w:r w:rsidRPr="006A0931">
        <w:rPr>
          <w:rStyle w:val="Emphasis"/>
        </w:rPr>
        <w:t>P</w:t>
      </w:r>
      <w:r w:rsidR="00745E03" w:rsidRPr="006A0931">
        <w:rPr>
          <w:rStyle w:val="Emphasis"/>
        </w:rPr>
        <w:t>ersonal precautions</w:t>
      </w:r>
      <w:r w:rsidRPr="006A0931">
        <w:rPr>
          <w:rStyle w:val="Emphasis"/>
        </w:rPr>
        <w:t>, protective equipment,</w:t>
      </w:r>
      <w:r w:rsidR="00745E03" w:rsidRPr="006A0931">
        <w:rPr>
          <w:rStyle w:val="Emphasis"/>
        </w:rPr>
        <w:t xml:space="preserve"> and emergency procedures</w:t>
      </w:r>
    </w:p>
    <w:p w:rsidR="00E04356" w:rsidRDefault="00E04356" w:rsidP="004306CE">
      <w:pPr>
        <w:pStyle w:val="NoSpacing"/>
        <w:tabs>
          <w:tab w:val="left" w:pos="540"/>
        </w:tabs>
        <w:spacing w:line="360" w:lineRule="auto"/>
      </w:pPr>
      <w:r>
        <w:tab/>
        <w:t xml:space="preserve">Evacuate personnel.  Wear suitable PPE as described in section 8.  </w:t>
      </w:r>
    </w:p>
    <w:p w:rsidR="006D57AD" w:rsidRDefault="006D57AD" w:rsidP="004306CE">
      <w:pPr>
        <w:pStyle w:val="NoSpacing"/>
        <w:tabs>
          <w:tab w:val="left" w:pos="540"/>
        </w:tabs>
        <w:spacing w:line="360" w:lineRule="auto"/>
      </w:pPr>
    </w:p>
    <w:p w:rsidR="006D57AD" w:rsidRDefault="006D57AD" w:rsidP="004306CE">
      <w:pPr>
        <w:pStyle w:val="NoSpacing"/>
        <w:tabs>
          <w:tab w:val="left" w:pos="540"/>
        </w:tabs>
        <w:spacing w:line="360" w:lineRule="auto"/>
      </w:pPr>
      <w:r w:rsidRPr="006A0931">
        <w:rPr>
          <w:rStyle w:val="SubtleEmphasis"/>
        </w:rPr>
        <w:t>6.2</w:t>
      </w:r>
      <w:r>
        <w:tab/>
      </w:r>
      <w:r w:rsidRPr="006A0931">
        <w:rPr>
          <w:rStyle w:val="Emphasis"/>
        </w:rPr>
        <w:t>Environmental precautions</w:t>
      </w:r>
    </w:p>
    <w:p w:rsidR="006D57AD" w:rsidRDefault="00016384" w:rsidP="004306CE">
      <w:pPr>
        <w:pStyle w:val="NoSpacing"/>
        <w:tabs>
          <w:tab w:val="left" w:pos="540"/>
        </w:tabs>
        <w:spacing w:line="360" w:lineRule="auto"/>
        <w:ind w:left="540"/>
      </w:pPr>
      <w:r w:rsidRPr="00CB2C93">
        <w:rPr>
          <w:highlight w:val="yellow"/>
        </w:rPr>
        <w:t>[add any statements about material (e.g. mercury catalyst) that could leach out in end use]</w:t>
      </w:r>
    </w:p>
    <w:p w:rsidR="006D57AD" w:rsidRDefault="006D57AD" w:rsidP="004306CE">
      <w:pPr>
        <w:pStyle w:val="NoSpacing"/>
        <w:tabs>
          <w:tab w:val="left" w:pos="540"/>
        </w:tabs>
        <w:spacing w:line="360" w:lineRule="auto"/>
      </w:pPr>
    </w:p>
    <w:p w:rsidR="006D57AD" w:rsidRDefault="006D57AD" w:rsidP="004306CE">
      <w:pPr>
        <w:pStyle w:val="NoSpacing"/>
        <w:tabs>
          <w:tab w:val="left" w:pos="540"/>
        </w:tabs>
        <w:spacing w:line="360" w:lineRule="auto"/>
      </w:pPr>
      <w:r w:rsidRPr="006A0931">
        <w:rPr>
          <w:rStyle w:val="SubtleEmphasis"/>
        </w:rPr>
        <w:t>6.3</w:t>
      </w:r>
      <w:r>
        <w:tab/>
      </w:r>
      <w:r w:rsidRPr="006A0931">
        <w:rPr>
          <w:rStyle w:val="Emphasis"/>
        </w:rPr>
        <w:t>Methods and materials for containment and cleaning up</w:t>
      </w:r>
    </w:p>
    <w:p w:rsidR="00185511" w:rsidRDefault="00016384" w:rsidP="0000199E">
      <w:pPr>
        <w:pStyle w:val="NoSpacing"/>
        <w:tabs>
          <w:tab w:val="left" w:pos="540"/>
        </w:tabs>
        <w:spacing w:line="360" w:lineRule="auto"/>
        <w:ind w:left="540"/>
      </w:pPr>
      <w:r>
        <w:t>Pick up and handle as any other solid material</w:t>
      </w:r>
      <w:r w:rsidR="006D57AD">
        <w:t>.</w:t>
      </w:r>
    </w:p>
    <w:p w:rsidR="00424C9E" w:rsidRDefault="00424C9E" w:rsidP="00424C9E">
      <w:pPr>
        <w:pStyle w:val="Heading2"/>
        <w:pBdr>
          <w:bottom w:val="double" w:sz="6" w:space="1" w:color="auto"/>
        </w:pBdr>
      </w:pPr>
      <w:r>
        <w:t>7. Handling and Storage</w:t>
      </w:r>
    </w:p>
    <w:p w:rsidR="00424C9E" w:rsidRDefault="00424C9E" w:rsidP="007323BC">
      <w:pPr>
        <w:pStyle w:val="NoSpacing"/>
        <w:tabs>
          <w:tab w:val="left" w:pos="540"/>
        </w:tabs>
      </w:pPr>
    </w:p>
    <w:p w:rsidR="00424C9E" w:rsidRDefault="00185511" w:rsidP="004306CE">
      <w:pPr>
        <w:pStyle w:val="NoSpacing"/>
        <w:tabs>
          <w:tab w:val="left" w:pos="540"/>
        </w:tabs>
        <w:spacing w:line="360" w:lineRule="auto"/>
      </w:pPr>
      <w:r w:rsidRPr="006A0931">
        <w:rPr>
          <w:rStyle w:val="SubtleEmphasis"/>
        </w:rPr>
        <w:t>7.1</w:t>
      </w:r>
      <w:r>
        <w:tab/>
      </w:r>
      <w:r w:rsidRPr="006A0931">
        <w:rPr>
          <w:rStyle w:val="Emphasis"/>
        </w:rPr>
        <w:t>Precautions for safe handling</w:t>
      </w:r>
    </w:p>
    <w:p w:rsidR="00185511" w:rsidRDefault="00016384" w:rsidP="004306CE">
      <w:pPr>
        <w:pStyle w:val="NoSpacing"/>
        <w:tabs>
          <w:tab w:val="left" w:pos="540"/>
        </w:tabs>
        <w:spacing w:line="360" w:lineRule="auto"/>
        <w:ind w:left="540"/>
      </w:pPr>
      <w:r>
        <w:t>None in normal use</w:t>
      </w:r>
      <w:r w:rsidR="00185511">
        <w:t xml:space="preserve">. </w:t>
      </w:r>
    </w:p>
    <w:p w:rsidR="006A0931" w:rsidRDefault="006A0931" w:rsidP="004306CE">
      <w:pPr>
        <w:pStyle w:val="NoSpacing"/>
        <w:tabs>
          <w:tab w:val="left" w:pos="540"/>
        </w:tabs>
        <w:spacing w:line="360" w:lineRule="auto"/>
      </w:pPr>
    </w:p>
    <w:p w:rsidR="006A0931" w:rsidRDefault="006A0931" w:rsidP="004306CE">
      <w:pPr>
        <w:pStyle w:val="NoSpacing"/>
        <w:tabs>
          <w:tab w:val="left" w:pos="540"/>
        </w:tabs>
        <w:spacing w:line="360" w:lineRule="auto"/>
      </w:pPr>
      <w:r w:rsidRPr="006A0931">
        <w:rPr>
          <w:rStyle w:val="SubtleEmphasis"/>
        </w:rPr>
        <w:t>7.2</w:t>
      </w:r>
      <w:r>
        <w:tab/>
      </w:r>
      <w:r w:rsidRPr="006A0931">
        <w:rPr>
          <w:rStyle w:val="Emphasis"/>
        </w:rPr>
        <w:t>Conditions for safe storage, including anything that is incompatible</w:t>
      </w:r>
    </w:p>
    <w:p w:rsidR="006A0931" w:rsidRDefault="006A0931" w:rsidP="004306CE">
      <w:pPr>
        <w:pStyle w:val="NoSpacing"/>
        <w:tabs>
          <w:tab w:val="left" w:pos="540"/>
        </w:tabs>
        <w:spacing w:line="360" w:lineRule="auto"/>
        <w:ind w:left="540"/>
      </w:pPr>
      <w:r>
        <w:t>Store material a</w:t>
      </w:r>
      <w:r w:rsidR="003C0040">
        <w:t>t</w:t>
      </w:r>
      <w:r>
        <w:t xml:space="preserve"> ambient temperature and pressure.  Keep away from sources of </w:t>
      </w:r>
      <w:r w:rsidR="00016384">
        <w:t>flame, sparks, or other ignition sources</w:t>
      </w:r>
      <w:r>
        <w:t>.  Material is stable under normal conditions.</w:t>
      </w:r>
    </w:p>
    <w:p w:rsidR="006A0931" w:rsidRDefault="006A0931" w:rsidP="004306CE">
      <w:pPr>
        <w:pStyle w:val="NoSpacing"/>
        <w:tabs>
          <w:tab w:val="left" w:pos="540"/>
        </w:tabs>
        <w:spacing w:line="360" w:lineRule="auto"/>
      </w:pPr>
    </w:p>
    <w:p w:rsidR="006A0931" w:rsidRDefault="006A0931" w:rsidP="004306CE">
      <w:pPr>
        <w:pStyle w:val="NoSpacing"/>
        <w:tabs>
          <w:tab w:val="left" w:pos="540"/>
        </w:tabs>
        <w:spacing w:line="360" w:lineRule="auto"/>
      </w:pPr>
      <w:r w:rsidRPr="006A0931">
        <w:rPr>
          <w:rStyle w:val="SubtleEmphasis"/>
        </w:rPr>
        <w:t>7.3</w:t>
      </w:r>
      <w:r>
        <w:tab/>
      </w:r>
      <w:r w:rsidRPr="006A0931">
        <w:rPr>
          <w:rStyle w:val="Emphasis"/>
        </w:rPr>
        <w:t>Specific end use(s)</w:t>
      </w:r>
    </w:p>
    <w:p w:rsidR="006A0931" w:rsidRDefault="006A0931" w:rsidP="004306CE">
      <w:pPr>
        <w:pStyle w:val="NoSpacing"/>
        <w:tabs>
          <w:tab w:val="left" w:pos="540"/>
        </w:tabs>
        <w:spacing w:line="360" w:lineRule="auto"/>
      </w:pPr>
      <w:r>
        <w:tab/>
      </w:r>
      <w:r w:rsidR="00016384" w:rsidRPr="00CB2C93">
        <w:rPr>
          <w:highlight w:val="yellow"/>
        </w:rPr>
        <w:t>[enter uses]</w:t>
      </w:r>
    </w:p>
    <w:p w:rsidR="00424C9E" w:rsidRDefault="00424C9E" w:rsidP="00424C9E">
      <w:pPr>
        <w:pStyle w:val="Heading2"/>
        <w:pBdr>
          <w:bottom w:val="double" w:sz="6" w:space="1" w:color="auto"/>
        </w:pBdr>
      </w:pPr>
      <w:r>
        <w:lastRenderedPageBreak/>
        <w:t>8. Exposure Controls/Personal Protection</w:t>
      </w:r>
    </w:p>
    <w:p w:rsidR="00424C9E" w:rsidRDefault="00424C9E" w:rsidP="007323BC">
      <w:pPr>
        <w:pStyle w:val="NoSpacing"/>
        <w:tabs>
          <w:tab w:val="left" w:pos="540"/>
        </w:tabs>
      </w:pPr>
    </w:p>
    <w:p w:rsidR="00424C9E" w:rsidRDefault="001D5E58" w:rsidP="007323BC">
      <w:pPr>
        <w:pStyle w:val="NoSpacing"/>
        <w:tabs>
          <w:tab w:val="left" w:pos="540"/>
        </w:tabs>
      </w:pPr>
      <w:r w:rsidRPr="00CF5A0B">
        <w:rPr>
          <w:rStyle w:val="SubtleEmphasis"/>
        </w:rPr>
        <w:t>8.1</w:t>
      </w:r>
      <w:r>
        <w:tab/>
      </w:r>
      <w:r w:rsidRPr="00CF5A0B">
        <w:rPr>
          <w:rStyle w:val="Emphasis"/>
        </w:rPr>
        <w:t>Control</w:t>
      </w:r>
      <w:r w:rsidR="00AF78E8">
        <w:rPr>
          <w:rStyle w:val="Emphasis"/>
        </w:rPr>
        <w:t xml:space="preserve"> p</w:t>
      </w:r>
      <w:r w:rsidRPr="00CF5A0B">
        <w:rPr>
          <w:rStyle w:val="Emphasis"/>
        </w:rPr>
        <w:t>arameters</w:t>
      </w:r>
    </w:p>
    <w:p w:rsidR="00016384" w:rsidRPr="00016384" w:rsidRDefault="00016384" w:rsidP="00016384">
      <w:pPr>
        <w:ind w:left="540"/>
        <w:jc w:val="both"/>
        <w:rPr>
          <w:b/>
          <w:sz w:val="24"/>
          <w:szCs w:val="24"/>
        </w:rPr>
      </w:pPr>
      <w:r w:rsidRPr="00016384">
        <w:rPr>
          <w:b/>
          <w:sz w:val="24"/>
          <w:szCs w:val="24"/>
        </w:rPr>
        <w:t>Permissible Exposure Limits (PELS TLVs BEIs)</w:t>
      </w:r>
    </w:p>
    <w:p w:rsidR="00016384" w:rsidRDefault="00016384" w:rsidP="008709B1">
      <w:pPr>
        <w:pStyle w:val="NoSpacing"/>
        <w:ind w:left="540"/>
      </w:pPr>
      <w:r w:rsidRPr="00016384">
        <w:t>There are no applicable exposure limits for cured polyurethane materials. There are limits for TDI and MDI which may be released under s</w:t>
      </w:r>
      <w:r>
        <w:t>ome heat processing activities.</w:t>
      </w:r>
    </w:p>
    <w:p w:rsidR="008709B1" w:rsidRPr="00016384" w:rsidRDefault="008709B1" w:rsidP="008709B1">
      <w:pPr>
        <w:pStyle w:val="NoSpacing"/>
        <w:ind w:left="540"/>
      </w:pPr>
    </w:p>
    <w:p w:rsidR="00016384" w:rsidRPr="00016384" w:rsidRDefault="00016384" w:rsidP="008709B1">
      <w:pPr>
        <w:pStyle w:val="NoSpacing"/>
        <w:ind w:left="540"/>
      </w:pPr>
      <w:r w:rsidRPr="00016384">
        <w:t>The current OSHA Permissible Exposure Limit for both TDI and MDI is 0.02 ppm (Ceiling). A ceili</w:t>
      </w:r>
      <w:r>
        <w:t>ng limit is not to be exceeded.</w:t>
      </w:r>
    </w:p>
    <w:p w:rsidR="008709B1" w:rsidRDefault="008709B1" w:rsidP="008709B1">
      <w:pPr>
        <w:pStyle w:val="NoSpacing"/>
        <w:ind w:left="540"/>
      </w:pPr>
    </w:p>
    <w:p w:rsidR="00F07C35" w:rsidRDefault="00016384" w:rsidP="008709B1">
      <w:pPr>
        <w:pStyle w:val="NoSpacing"/>
        <w:ind w:left="540"/>
      </w:pPr>
      <w:r w:rsidRPr="00016384">
        <w:t>The current American Conference of Governmental Industrial Hygienists (ACGIH) Threshold Limit Value (TLV)for TDI is 0.005 ppm for an 8 hour TWA, with a 15 minute Short Term Exposure Limit (STEL) of 0.02 ppm. TDI is also indicated as a “Sensitizer” by ACGIH. The 8 hour TLV for MDI  is  0.005 PPM TWA. The TLV for TDI is under the 2006 ACGIH notice of intended changes. The proposed change is to lower the TLV for TDI to 0.001 ppm for an 8 hour TWA, with a 15 minute STEL of 0.003 ppm. The proposal for TDI also recommends adding a “Skin” notation and making the cancer designation “A3 – Confirmed Animal Carcinogen with</w:t>
      </w:r>
      <w:r>
        <w:t xml:space="preserve"> </w:t>
      </w:r>
      <w:r w:rsidRPr="00016384">
        <w:t>Unknown Relevance to Humans”.</w:t>
      </w:r>
    </w:p>
    <w:p w:rsidR="008709B1" w:rsidRPr="00016384" w:rsidRDefault="008709B1" w:rsidP="008709B1">
      <w:pPr>
        <w:pStyle w:val="NoSpacing"/>
        <w:ind w:left="540"/>
      </w:pPr>
    </w:p>
    <w:p w:rsidR="00AF78E8" w:rsidRPr="00016384" w:rsidRDefault="005E3859" w:rsidP="004306CE">
      <w:pPr>
        <w:pStyle w:val="NoSpacing"/>
        <w:tabs>
          <w:tab w:val="left" w:pos="540"/>
        </w:tabs>
        <w:spacing w:line="360" w:lineRule="auto"/>
        <w:rPr>
          <w:i/>
          <w:iCs/>
        </w:rPr>
      </w:pPr>
      <w:r w:rsidRPr="00CF5A0B">
        <w:rPr>
          <w:rStyle w:val="SubtleEmphasis"/>
        </w:rPr>
        <w:t>8.2</w:t>
      </w:r>
      <w:r>
        <w:tab/>
      </w:r>
      <w:r w:rsidR="00AF78E8">
        <w:rPr>
          <w:rStyle w:val="Emphasis"/>
        </w:rPr>
        <w:t>Exposure c</w:t>
      </w:r>
      <w:r w:rsidRPr="00CF5A0B">
        <w:rPr>
          <w:rStyle w:val="Emphasis"/>
        </w:rPr>
        <w:t>ontrols</w:t>
      </w:r>
    </w:p>
    <w:p w:rsidR="005E3859" w:rsidRPr="00CF5A0B" w:rsidRDefault="00AF78E8" w:rsidP="004306CE">
      <w:pPr>
        <w:pStyle w:val="NoSpacing"/>
        <w:tabs>
          <w:tab w:val="left" w:pos="540"/>
        </w:tabs>
        <w:spacing w:line="360" w:lineRule="auto"/>
        <w:rPr>
          <w:rStyle w:val="IntenseEmphasis"/>
        </w:rPr>
      </w:pPr>
      <w:r>
        <w:tab/>
      </w:r>
      <w:r w:rsidR="005E3859" w:rsidRPr="00CF5A0B">
        <w:rPr>
          <w:rStyle w:val="IntenseEmphasis"/>
        </w:rPr>
        <w:t>Engineering Controls:</w:t>
      </w:r>
    </w:p>
    <w:p w:rsidR="005E3859" w:rsidRDefault="00016384" w:rsidP="00016384">
      <w:pPr>
        <w:pStyle w:val="NoSpacing"/>
        <w:tabs>
          <w:tab w:val="left" w:pos="540"/>
        </w:tabs>
        <w:spacing w:line="360" w:lineRule="auto"/>
        <w:ind w:left="540"/>
      </w:pPr>
      <w:r w:rsidRPr="00016384">
        <w:t>Local exhaust recommended for thermal processing operations, as required to reduce dust, gas, and vapor fume exposure below OSHA levels.</w:t>
      </w:r>
    </w:p>
    <w:p w:rsidR="005E3859" w:rsidRPr="00CF5A0B" w:rsidRDefault="005E3859" w:rsidP="004306CE">
      <w:pPr>
        <w:pStyle w:val="NoSpacing"/>
        <w:tabs>
          <w:tab w:val="left" w:pos="540"/>
        </w:tabs>
        <w:spacing w:line="360" w:lineRule="auto"/>
        <w:rPr>
          <w:rStyle w:val="IntenseEmphasis"/>
        </w:rPr>
      </w:pPr>
      <w:r>
        <w:tab/>
      </w:r>
      <w:r w:rsidRPr="00CF5A0B">
        <w:rPr>
          <w:rStyle w:val="IntenseEmphasis"/>
        </w:rPr>
        <w:t>Personal Protective Equipment:</w:t>
      </w:r>
    </w:p>
    <w:p w:rsidR="00CF5A0B" w:rsidRDefault="00CF5A0B" w:rsidP="007323BC">
      <w:pPr>
        <w:pStyle w:val="NoSpacing"/>
        <w:tabs>
          <w:tab w:val="left" w:pos="540"/>
        </w:tabs>
      </w:pPr>
    </w:p>
    <w:tbl>
      <w:tblPr>
        <w:tblStyle w:val="LightGrid-Accent1"/>
        <w:tblW w:w="0" w:type="auto"/>
        <w:tblLook w:val="04A0" w:firstRow="1" w:lastRow="0" w:firstColumn="1" w:lastColumn="0" w:noHBand="0" w:noVBand="1"/>
      </w:tblPr>
      <w:tblGrid>
        <w:gridCol w:w="2358"/>
        <w:gridCol w:w="7218"/>
      </w:tblGrid>
      <w:tr w:rsidR="005E3859" w:rsidRPr="00F22A3C" w:rsidTr="00907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5E3859" w:rsidP="009076A4">
            <w:pPr>
              <w:pStyle w:val="NoSpacing"/>
              <w:tabs>
                <w:tab w:val="left" w:pos="540"/>
              </w:tabs>
              <w:jc w:val="center"/>
            </w:pPr>
            <w:r w:rsidRPr="00F22A3C">
              <w:t>Type of Protection</w:t>
            </w:r>
          </w:p>
        </w:tc>
        <w:tc>
          <w:tcPr>
            <w:tcW w:w="7218" w:type="dxa"/>
          </w:tcPr>
          <w:p w:rsidR="005E3859" w:rsidRPr="00F22A3C" w:rsidRDefault="005E3859" w:rsidP="007323BC">
            <w:pPr>
              <w:pStyle w:val="NoSpacing"/>
              <w:tabs>
                <w:tab w:val="left" w:pos="540"/>
              </w:tabs>
              <w:cnfStyle w:val="100000000000" w:firstRow="1" w:lastRow="0" w:firstColumn="0" w:lastColumn="0" w:oddVBand="0" w:evenVBand="0" w:oddHBand="0" w:evenHBand="0" w:firstRowFirstColumn="0" w:firstRowLastColumn="0" w:lastRowFirstColumn="0" w:lastRowLastColumn="0"/>
            </w:pPr>
            <w:r w:rsidRPr="00F22A3C">
              <w:t>Minimum Suggested Equipment</w:t>
            </w:r>
          </w:p>
        </w:tc>
      </w:tr>
      <w:tr w:rsidR="005E3859" w:rsidRPr="00F22A3C" w:rsidTr="00907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Hand</w:t>
            </w:r>
          </w:p>
        </w:tc>
        <w:tc>
          <w:tcPr>
            <w:tcW w:w="7218" w:type="dxa"/>
          </w:tcPr>
          <w:p w:rsidR="005E3859" w:rsidRPr="00F22A3C" w:rsidRDefault="008709B1" w:rsidP="009076A4">
            <w:pPr>
              <w:pStyle w:val="NoSpacing"/>
              <w:tabs>
                <w:tab w:val="left" w:pos="540"/>
              </w:tabs>
              <w:cnfStyle w:val="000000100000" w:firstRow="0" w:lastRow="0" w:firstColumn="0" w:lastColumn="0" w:oddVBand="0" w:evenVBand="0" w:oddHBand="1" w:evenHBand="0" w:firstRowFirstColumn="0" w:firstRowLastColumn="0" w:lastRowFirstColumn="0" w:lastRowLastColumn="0"/>
            </w:pPr>
            <w:r>
              <w:t>None required in normal use</w:t>
            </w:r>
          </w:p>
        </w:tc>
      </w:tr>
      <w:tr w:rsidR="005E3859" w:rsidRPr="00F22A3C" w:rsidTr="00907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Eye</w:t>
            </w:r>
          </w:p>
        </w:tc>
        <w:tc>
          <w:tcPr>
            <w:tcW w:w="7218" w:type="dxa"/>
          </w:tcPr>
          <w:p w:rsidR="005E3859" w:rsidRPr="00F22A3C" w:rsidRDefault="00016384" w:rsidP="007323BC">
            <w:pPr>
              <w:pStyle w:val="NoSpacing"/>
              <w:tabs>
                <w:tab w:val="left" w:pos="540"/>
              </w:tabs>
              <w:cnfStyle w:val="000000010000" w:firstRow="0" w:lastRow="0" w:firstColumn="0" w:lastColumn="0" w:oddVBand="0" w:evenVBand="0" w:oddHBand="0" w:evenHBand="1" w:firstRowFirstColumn="0" w:firstRowLastColumn="0" w:lastRowFirstColumn="0" w:lastRowLastColumn="0"/>
            </w:pPr>
            <w:r>
              <w:t xml:space="preserve">None required in normal use.  </w:t>
            </w:r>
            <w:r w:rsidR="009076A4" w:rsidRPr="00F22A3C">
              <w:t>Safety glasses with side shields or safety goggles</w:t>
            </w:r>
            <w:r>
              <w:t xml:space="preserve"> and face shield should be used in grinding operations.</w:t>
            </w:r>
          </w:p>
        </w:tc>
      </w:tr>
      <w:tr w:rsidR="005E3859" w:rsidRPr="00F22A3C" w:rsidTr="00907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Skin</w:t>
            </w:r>
          </w:p>
        </w:tc>
        <w:tc>
          <w:tcPr>
            <w:tcW w:w="7218" w:type="dxa"/>
          </w:tcPr>
          <w:p w:rsidR="005E3859" w:rsidRPr="00F22A3C" w:rsidRDefault="00016384" w:rsidP="00CF5A0B">
            <w:pPr>
              <w:pStyle w:val="NoSpacing"/>
              <w:tabs>
                <w:tab w:val="left" w:pos="540"/>
              </w:tabs>
              <w:cnfStyle w:val="000000100000" w:firstRow="0" w:lastRow="0" w:firstColumn="0" w:lastColumn="0" w:oddVBand="0" w:evenVBand="0" w:oddHBand="1" w:evenHBand="0" w:firstRowFirstColumn="0" w:firstRowLastColumn="0" w:lastRowFirstColumn="0" w:lastRowLastColumn="0"/>
            </w:pPr>
            <w:r>
              <w:t>None required in normal use</w:t>
            </w:r>
          </w:p>
        </w:tc>
      </w:tr>
      <w:tr w:rsidR="005E3859" w:rsidRPr="00F22A3C" w:rsidTr="00907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Respiratory</w:t>
            </w:r>
          </w:p>
        </w:tc>
        <w:tc>
          <w:tcPr>
            <w:tcW w:w="7218" w:type="dxa"/>
          </w:tcPr>
          <w:p w:rsidR="007B45F9" w:rsidRDefault="003C0040" w:rsidP="003C0040">
            <w:pPr>
              <w:pStyle w:val="NoSpacing"/>
              <w:tabs>
                <w:tab w:val="left" w:pos="540"/>
              </w:tabs>
              <w:cnfStyle w:val="000000010000" w:firstRow="0" w:lastRow="0" w:firstColumn="0" w:lastColumn="0" w:oddVBand="0" w:evenVBand="0" w:oddHBand="0" w:evenHBand="1" w:firstRowFirstColumn="0" w:firstRowLastColumn="0" w:lastRowFirstColumn="0" w:lastRowLastColumn="0"/>
            </w:pPr>
            <w:r>
              <w:t xml:space="preserve">None required in normal use. </w:t>
            </w:r>
            <w:r w:rsidR="00016384" w:rsidRPr="00016384">
              <w:t xml:space="preserve"> </w:t>
            </w:r>
          </w:p>
          <w:p w:rsidR="007B45F9" w:rsidRDefault="007B45F9" w:rsidP="003C0040">
            <w:pPr>
              <w:pStyle w:val="NoSpacing"/>
              <w:tabs>
                <w:tab w:val="left" w:pos="540"/>
              </w:tabs>
              <w:cnfStyle w:val="000000010000" w:firstRow="0" w:lastRow="0" w:firstColumn="0" w:lastColumn="0" w:oddVBand="0" w:evenVBand="0" w:oddHBand="0" w:evenHBand="1" w:firstRowFirstColumn="0" w:firstRowLastColumn="0" w:lastRowFirstColumn="0" w:lastRowLastColumn="0"/>
            </w:pPr>
          </w:p>
          <w:p w:rsidR="007B45F9" w:rsidRDefault="00016384" w:rsidP="007B45F9">
            <w:pPr>
              <w:pStyle w:val="NoSpacing"/>
              <w:tabs>
                <w:tab w:val="left" w:pos="540"/>
              </w:tabs>
              <w:cnfStyle w:val="000000010000" w:firstRow="0" w:lastRow="0" w:firstColumn="0" w:lastColumn="0" w:oddVBand="0" w:evenVBand="0" w:oddHBand="0" w:evenHBand="1" w:firstRowFirstColumn="0" w:firstRowLastColumn="0" w:lastRowFirstColumn="0" w:lastRowLastColumn="0"/>
            </w:pPr>
            <w:r w:rsidRPr="00016384">
              <w:t>For low temperature grinding operations wear a</w:t>
            </w:r>
            <w:r w:rsidR="003C0040" w:rsidRPr="00016384">
              <w:t xml:space="preserve"> NIOSH approved</w:t>
            </w:r>
            <w:r w:rsidR="003C0040">
              <w:t xml:space="preserve"> </w:t>
            </w:r>
            <w:r w:rsidR="003C0040" w:rsidRPr="00016384">
              <w:t xml:space="preserve"> </w:t>
            </w:r>
            <w:r w:rsidRPr="00016384">
              <w:t xml:space="preserve">dust respirator. </w:t>
            </w:r>
          </w:p>
          <w:p w:rsidR="007B45F9" w:rsidRDefault="007B45F9" w:rsidP="007B45F9">
            <w:pPr>
              <w:pStyle w:val="NoSpacing"/>
              <w:tabs>
                <w:tab w:val="left" w:pos="540"/>
              </w:tabs>
              <w:cnfStyle w:val="000000010000" w:firstRow="0" w:lastRow="0" w:firstColumn="0" w:lastColumn="0" w:oddVBand="0" w:evenVBand="0" w:oddHBand="0" w:evenHBand="1" w:firstRowFirstColumn="0" w:firstRowLastColumn="0" w:lastRowFirstColumn="0" w:lastRowLastColumn="0"/>
            </w:pPr>
          </w:p>
          <w:p w:rsidR="005E3859" w:rsidRPr="00F22A3C" w:rsidRDefault="00016384" w:rsidP="007B45F9">
            <w:pPr>
              <w:pStyle w:val="NoSpacing"/>
              <w:tabs>
                <w:tab w:val="left" w:pos="540"/>
              </w:tabs>
              <w:cnfStyle w:val="000000010000" w:firstRow="0" w:lastRow="0" w:firstColumn="0" w:lastColumn="0" w:oddVBand="0" w:evenVBand="0" w:oddHBand="0" w:evenHBand="1" w:firstRowFirstColumn="0" w:firstRowLastColumn="0" w:lastRowFirstColumn="0" w:lastRowLastColumn="0"/>
            </w:pPr>
            <w:r w:rsidRPr="00016384">
              <w:t>If generating gas, vapor, and fumes from hot wire, hot knife, or other thermal processing operations (including potentially some grinding operations) wear a</w:t>
            </w:r>
            <w:r w:rsidR="003C0040" w:rsidRPr="00016384">
              <w:t xml:space="preserve"> NIOSH approved</w:t>
            </w:r>
            <w:r w:rsidR="003C0040">
              <w:t xml:space="preserve"> </w:t>
            </w:r>
            <w:r w:rsidRPr="00016384">
              <w:t>air-purifying respirator with organic cartridge or supplied-air respirator if ventilation is inadequate. Replace cartridge according to respirator manufacturer’s changeout schedule</w:t>
            </w:r>
          </w:p>
        </w:tc>
      </w:tr>
    </w:tbl>
    <w:p w:rsidR="005E3859" w:rsidRDefault="005E3859" w:rsidP="007323BC">
      <w:pPr>
        <w:pStyle w:val="NoSpacing"/>
        <w:tabs>
          <w:tab w:val="left" w:pos="540"/>
        </w:tabs>
      </w:pPr>
    </w:p>
    <w:p w:rsidR="00F22A3C" w:rsidRDefault="00F22A3C" w:rsidP="007323BC">
      <w:pPr>
        <w:pStyle w:val="NoSpacing"/>
        <w:tabs>
          <w:tab w:val="left" w:pos="540"/>
        </w:tabs>
        <w:rPr>
          <w:rFonts w:asciiTheme="majorHAnsi" w:eastAsiaTheme="majorEastAsia" w:hAnsiTheme="majorHAnsi" w:cstheme="majorBidi"/>
          <w:b/>
          <w:bCs/>
          <w:color w:val="4F81BD" w:themeColor="accent1"/>
          <w:sz w:val="26"/>
          <w:szCs w:val="26"/>
        </w:rPr>
      </w:pPr>
    </w:p>
    <w:p w:rsidR="003C0040" w:rsidRDefault="003C0040" w:rsidP="007323BC">
      <w:pPr>
        <w:pStyle w:val="NoSpacing"/>
        <w:tabs>
          <w:tab w:val="left" w:pos="540"/>
        </w:tabs>
        <w:rPr>
          <w:rFonts w:asciiTheme="majorHAnsi" w:eastAsiaTheme="majorEastAsia" w:hAnsiTheme="majorHAnsi" w:cstheme="majorBidi"/>
          <w:b/>
          <w:bCs/>
          <w:color w:val="4F81BD" w:themeColor="accent1"/>
          <w:sz w:val="26"/>
          <w:szCs w:val="26"/>
        </w:rPr>
      </w:pPr>
    </w:p>
    <w:p w:rsidR="00F22A3C" w:rsidRDefault="00F22A3C" w:rsidP="007323BC">
      <w:pPr>
        <w:pStyle w:val="NoSpacing"/>
        <w:tabs>
          <w:tab w:val="left" w:pos="540"/>
        </w:tabs>
      </w:pPr>
    </w:p>
    <w:p w:rsidR="00F22A3C" w:rsidRDefault="00F22A3C" w:rsidP="00F22A3C">
      <w:pPr>
        <w:pStyle w:val="Heading2"/>
        <w:pBdr>
          <w:bottom w:val="double" w:sz="6" w:space="1" w:color="auto"/>
        </w:pBdr>
      </w:pPr>
      <w:r>
        <w:t>9. Physical and Chemical Properties</w:t>
      </w:r>
    </w:p>
    <w:p w:rsidR="00F22A3C" w:rsidRDefault="00F22A3C" w:rsidP="007323BC">
      <w:pPr>
        <w:pStyle w:val="NoSpacing"/>
        <w:tabs>
          <w:tab w:val="left" w:pos="540"/>
        </w:tabs>
      </w:pPr>
    </w:p>
    <w:tbl>
      <w:tblPr>
        <w:tblStyle w:val="LightGrid-Accent1"/>
        <w:tblW w:w="9818" w:type="dxa"/>
        <w:tblLook w:val="04A0" w:firstRow="1" w:lastRow="0" w:firstColumn="1" w:lastColumn="0" w:noHBand="0" w:noVBand="1"/>
      </w:tblPr>
      <w:tblGrid>
        <w:gridCol w:w="2358"/>
        <w:gridCol w:w="2549"/>
        <w:gridCol w:w="2362"/>
        <w:gridCol w:w="2549"/>
      </w:tblGrid>
      <w:tr w:rsidR="00CF5A0B" w:rsidTr="00EC6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tcPr>
          <w:p w:rsidR="00CF5A0B" w:rsidRDefault="00CF5A0B" w:rsidP="00CF5A0B">
            <w:pPr>
              <w:pStyle w:val="NoSpacing"/>
              <w:tabs>
                <w:tab w:val="left" w:pos="540"/>
              </w:tabs>
              <w:jc w:val="center"/>
            </w:pPr>
            <w:r>
              <w:t>Property</w:t>
            </w:r>
          </w:p>
        </w:tc>
        <w:tc>
          <w:tcPr>
            <w:tcW w:w="2549" w:type="dxa"/>
            <w:tcBorders>
              <w:left w:val="nil"/>
              <w:right w:val="single" w:sz="18" w:space="0" w:color="4F81BD" w:themeColor="accent1"/>
            </w:tcBorders>
          </w:tcPr>
          <w:p w:rsidR="00CF5A0B" w:rsidRDefault="00CF5A0B" w:rsidP="00CF5A0B">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Value</w:t>
            </w:r>
          </w:p>
        </w:tc>
        <w:tc>
          <w:tcPr>
            <w:tcW w:w="2362" w:type="dxa"/>
            <w:tcBorders>
              <w:left w:val="single" w:sz="18" w:space="0" w:color="4F81BD" w:themeColor="accent1"/>
              <w:right w:val="nil"/>
            </w:tcBorders>
          </w:tcPr>
          <w:p w:rsidR="00CF5A0B" w:rsidRDefault="00CF5A0B" w:rsidP="00CF5A0B">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Property</w:t>
            </w:r>
          </w:p>
        </w:tc>
        <w:tc>
          <w:tcPr>
            <w:tcW w:w="2549" w:type="dxa"/>
            <w:tcBorders>
              <w:left w:val="nil"/>
            </w:tcBorders>
          </w:tcPr>
          <w:p w:rsidR="00CF5A0B" w:rsidRDefault="00CF5A0B" w:rsidP="00CF5A0B">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Value</w:t>
            </w:r>
          </w:p>
        </w:tc>
      </w:tr>
      <w:tr w:rsidR="007F0938" w:rsidTr="00EC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CF5A0B" w:rsidP="00056A52">
            <w:pPr>
              <w:pStyle w:val="NoSpacing"/>
              <w:tabs>
                <w:tab w:val="left" w:pos="540"/>
              </w:tabs>
              <w:jc w:val="center"/>
              <w:rPr>
                <w:b w:val="0"/>
                <w:i/>
                <w:sz w:val="20"/>
              </w:rPr>
            </w:pPr>
            <w:r w:rsidRPr="00056A52">
              <w:rPr>
                <w:b w:val="0"/>
                <w:i/>
                <w:sz w:val="20"/>
              </w:rPr>
              <w:t>Appearance</w:t>
            </w:r>
          </w:p>
        </w:tc>
        <w:tc>
          <w:tcPr>
            <w:tcW w:w="2549" w:type="dxa"/>
            <w:tcBorders>
              <w:left w:val="nil"/>
              <w:right w:val="single" w:sz="18" w:space="0" w:color="4F81BD" w:themeColor="accent1"/>
            </w:tcBorders>
            <w:vAlign w:val="center"/>
          </w:tcPr>
          <w:p w:rsidR="00CF5A0B" w:rsidRPr="007F0938" w:rsidRDefault="008709B1" w:rsidP="008709B1">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Solid</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Odor</w:t>
            </w:r>
          </w:p>
        </w:tc>
        <w:tc>
          <w:tcPr>
            <w:tcW w:w="2549" w:type="dxa"/>
            <w:tcBorders>
              <w:left w:val="nil"/>
            </w:tcBorders>
            <w:vAlign w:val="center"/>
          </w:tcPr>
          <w:p w:rsidR="00CF5A0B" w:rsidRPr="007F0938" w:rsidRDefault="008709B1"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None</w:t>
            </w:r>
          </w:p>
        </w:tc>
      </w:tr>
      <w:tr w:rsidR="00CF5A0B" w:rsidTr="00EC6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Odor Threshold</w:t>
            </w:r>
          </w:p>
        </w:tc>
        <w:tc>
          <w:tcPr>
            <w:tcW w:w="2549" w:type="dxa"/>
            <w:tcBorders>
              <w:left w:val="nil"/>
              <w:right w:val="single" w:sz="18" w:space="0" w:color="4F81BD" w:themeColor="accent1"/>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pH</w:t>
            </w:r>
          </w:p>
        </w:tc>
        <w:tc>
          <w:tcPr>
            <w:tcW w:w="2549" w:type="dxa"/>
            <w:tcBorders>
              <w:left w:val="nil"/>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7F0938" w:rsidTr="00EC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Melting/Freezing Pt.</w:t>
            </w:r>
          </w:p>
        </w:tc>
        <w:tc>
          <w:tcPr>
            <w:tcW w:w="2549" w:type="dxa"/>
            <w:tcBorders>
              <w:left w:val="nil"/>
              <w:right w:val="single" w:sz="18" w:space="0" w:color="4F81BD" w:themeColor="accent1"/>
            </w:tcBorders>
            <w:vAlign w:val="center"/>
          </w:tcPr>
          <w:p w:rsidR="00CF5A0B" w:rsidRPr="007F0938" w:rsidRDefault="008709B1" w:rsidP="008709B1">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&gt;150°C (302°F)</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Initial Boiling Pt./Range</w:t>
            </w:r>
          </w:p>
        </w:tc>
        <w:tc>
          <w:tcPr>
            <w:tcW w:w="2549" w:type="dxa"/>
            <w:tcBorders>
              <w:left w:val="nil"/>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r>
      <w:tr w:rsidR="00CF5A0B" w:rsidTr="00EC6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Flash Pt.</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Evaporation Rate</w:t>
            </w:r>
          </w:p>
        </w:tc>
        <w:tc>
          <w:tcPr>
            <w:tcW w:w="2549" w:type="dxa"/>
            <w:tcBorders>
              <w:left w:val="nil"/>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7F0938" w:rsidTr="00EC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7F0938" w:rsidRPr="00056A52" w:rsidRDefault="007F0938" w:rsidP="00056A52">
            <w:pPr>
              <w:pStyle w:val="NoSpacing"/>
              <w:tabs>
                <w:tab w:val="left" w:pos="540"/>
              </w:tabs>
              <w:jc w:val="center"/>
              <w:rPr>
                <w:b w:val="0"/>
                <w:i/>
                <w:sz w:val="20"/>
              </w:rPr>
            </w:pPr>
            <w:r w:rsidRPr="00056A52">
              <w:rPr>
                <w:b w:val="0"/>
                <w:i/>
                <w:sz w:val="20"/>
              </w:rPr>
              <w:t>Flammability</w:t>
            </w:r>
          </w:p>
          <w:p w:rsidR="00CF5A0B" w:rsidRPr="00056A52" w:rsidRDefault="00BF28D9" w:rsidP="00056A52">
            <w:pPr>
              <w:pStyle w:val="NoSpacing"/>
              <w:tabs>
                <w:tab w:val="left" w:pos="540"/>
              </w:tabs>
              <w:jc w:val="center"/>
              <w:rPr>
                <w:b w:val="0"/>
                <w:i/>
                <w:sz w:val="20"/>
              </w:rPr>
            </w:pPr>
            <w:r w:rsidRPr="00056A52">
              <w:rPr>
                <w:b w:val="0"/>
                <w:i/>
                <w:sz w:val="20"/>
              </w:rPr>
              <w:t>(</w:t>
            </w:r>
            <w:r w:rsidR="003C0040" w:rsidRPr="00056A52">
              <w:rPr>
                <w:b w:val="0"/>
                <w:i/>
                <w:sz w:val="20"/>
              </w:rPr>
              <w:t>solid, gas</w:t>
            </w:r>
            <w:r w:rsidRPr="00056A52">
              <w:rPr>
                <w:b w:val="0"/>
                <w:i/>
                <w:sz w:val="20"/>
              </w:rPr>
              <w:t>)</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Dusts from processing operations may be combustible</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Upper/Lower Flammability Limits or Explosive Limits</w:t>
            </w:r>
          </w:p>
        </w:tc>
        <w:tc>
          <w:tcPr>
            <w:tcW w:w="2549" w:type="dxa"/>
            <w:tcBorders>
              <w:left w:val="nil"/>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r>
      <w:tr w:rsidR="00CF5A0B" w:rsidTr="00EC6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Vapor Pressure</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 xml:space="preserve">Vapor </w:t>
            </w:r>
            <w:r w:rsidR="003C0040" w:rsidRPr="00056A52">
              <w:rPr>
                <w:i/>
                <w:sz w:val="20"/>
              </w:rPr>
              <w:t>Density</w:t>
            </w:r>
          </w:p>
        </w:tc>
        <w:tc>
          <w:tcPr>
            <w:tcW w:w="2549" w:type="dxa"/>
            <w:tcBorders>
              <w:left w:val="nil"/>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7F0938" w:rsidTr="00EC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Relative Density</w:t>
            </w:r>
          </w:p>
        </w:tc>
        <w:tc>
          <w:tcPr>
            <w:tcW w:w="2549" w:type="dxa"/>
            <w:tcBorders>
              <w:left w:val="nil"/>
              <w:right w:val="single" w:sz="18" w:space="0" w:color="4F81BD" w:themeColor="accent1"/>
            </w:tcBorders>
            <w:vAlign w:val="center"/>
          </w:tcPr>
          <w:p w:rsidR="00CF5A0B" w:rsidRPr="007F0938" w:rsidRDefault="00056A52" w:rsidP="008709B1">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r w:rsidR="008709B1">
              <w:rPr>
                <w:sz w:val="20"/>
              </w:rPr>
              <w:t>0-1.3</w:t>
            </w:r>
            <w:r>
              <w:rPr>
                <w:sz w:val="20"/>
              </w:rPr>
              <w:t xml:space="preserve"> (23°C/73°F)</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Solubility(ies)</w:t>
            </w:r>
          </w:p>
        </w:tc>
        <w:tc>
          <w:tcPr>
            <w:tcW w:w="2549" w:type="dxa"/>
            <w:tcBorders>
              <w:left w:val="nil"/>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Not soluble in water</w:t>
            </w:r>
          </w:p>
        </w:tc>
      </w:tr>
      <w:tr w:rsidR="00CF5A0B" w:rsidTr="00EC6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Partition Coefficient: n-octanol/water</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Auto-ignition Temperature</w:t>
            </w:r>
          </w:p>
        </w:tc>
        <w:tc>
          <w:tcPr>
            <w:tcW w:w="2549" w:type="dxa"/>
            <w:tcBorders>
              <w:left w:val="nil"/>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056A52" w:rsidTr="00EC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7F0938" w:rsidP="00056A52">
            <w:pPr>
              <w:pStyle w:val="NoSpacing"/>
              <w:tabs>
                <w:tab w:val="left" w:pos="540"/>
              </w:tabs>
              <w:jc w:val="center"/>
              <w:rPr>
                <w:b w:val="0"/>
                <w:i/>
                <w:sz w:val="20"/>
              </w:rPr>
            </w:pPr>
            <w:r w:rsidRPr="00056A52">
              <w:rPr>
                <w:b w:val="0"/>
                <w:i/>
                <w:sz w:val="20"/>
              </w:rPr>
              <w:t>Decomposition Temperature</w:t>
            </w:r>
          </w:p>
        </w:tc>
        <w:tc>
          <w:tcPr>
            <w:tcW w:w="2549" w:type="dxa"/>
            <w:tcBorders>
              <w:left w:val="nil"/>
              <w:right w:val="single" w:sz="18" w:space="0" w:color="4F81BD" w:themeColor="accent1"/>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&gt;150°C (302°F)</w:t>
            </w:r>
          </w:p>
        </w:tc>
        <w:tc>
          <w:tcPr>
            <w:tcW w:w="2362" w:type="dxa"/>
            <w:tcBorders>
              <w:left w:val="single" w:sz="18" w:space="0" w:color="4F81BD" w:themeColor="accent1"/>
              <w:right w:val="nil"/>
            </w:tcBorders>
            <w:vAlign w:val="center"/>
          </w:tcPr>
          <w:p w:rsidR="00CF5A0B" w:rsidRPr="00056A52"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Viscosity</w:t>
            </w:r>
            <w:r w:rsidR="00056A52">
              <w:rPr>
                <w:i/>
                <w:sz w:val="20"/>
              </w:rPr>
              <w:t xml:space="preserve"> (Dynamic)</w:t>
            </w:r>
          </w:p>
        </w:tc>
        <w:tc>
          <w:tcPr>
            <w:tcW w:w="2549" w:type="dxa"/>
            <w:tcBorders>
              <w:left w:val="nil"/>
            </w:tcBorders>
            <w:vAlign w:val="center"/>
          </w:tcPr>
          <w:p w:rsidR="00CF5A0B" w:rsidRPr="007F0938" w:rsidRDefault="00790940"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r>
    </w:tbl>
    <w:p w:rsidR="00424C9E" w:rsidRDefault="00424C9E" w:rsidP="00CF5A0B">
      <w:pPr>
        <w:pStyle w:val="NoSpacing"/>
        <w:tabs>
          <w:tab w:val="left" w:pos="540"/>
        </w:tabs>
        <w:jc w:val="center"/>
      </w:pPr>
    </w:p>
    <w:p w:rsidR="00424C9E" w:rsidRDefault="00424C9E" w:rsidP="00424C9E">
      <w:pPr>
        <w:pStyle w:val="Heading2"/>
        <w:pBdr>
          <w:bottom w:val="double" w:sz="6" w:space="1" w:color="auto"/>
        </w:pBdr>
      </w:pPr>
      <w:r>
        <w:t>10. Stability and Reactivity</w:t>
      </w:r>
    </w:p>
    <w:p w:rsidR="00424C9E" w:rsidRDefault="00424C9E" w:rsidP="007323BC">
      <w:pPr>
        <w:pStyle w:val="NoSpacing"/>
        <w:tabs>
          <w:tab w:val="left" w:pos="540"/>
        </w:tabs>
      </w:pPr>
    </w:p>
    <w:p w:rsidR="00AF78E8" w:rsidRDefault="00AF78E8" w:rsidP="00837C1C">
      <w:pPr>
        <w:pStyle w:val="NoSpacing"/>
        <w:tabs>
          <w:tab w:val="left" w:pos="540"/>
        </w:tabs>
        <w:spacing w:line="360" w:lineRule="auto"/>
      </w:pPr>
      <w:r w:rsidRPr="004306CE">
        <w:rPr>
          <w:rStyle w:val="SubtleEmphasis"/>
        </w:rPr>
        <w:t>10.1</w:t>
      </w:r>
      <w:r>
        <w:tab/>
      </w:r>
      <w:r w:rsidRPr="004306CE">
        <w:rPr>
          <w:rStyle w:val="Emphasis"/>
        </w:rPr>
        <w:t>Reactivity</w:t>
      </w:r>
      <w:r w:rsidR="00837C1C">
        <w:rPr>
          <w:rStyle w:val="Emphasis"/>
        </w:rPr>
        <w:tab/>
      </w:r>
      <w:r w:rsidR="00837C1C">
        <w:rPr>
          <w:rStyle w:val="Emphasis"/>
        </w:rPr>
        <w:tab/>
      </w:r>
      <w:r w:rsidR="00837C1C">
        <w:rPr>
          <w:rStyle w:val="Emphasis"/>
        </w:rPr>
        <w:tab/>
      </w:r>
      <w:r w:rsidR="00837C1C">
        <w:rPr>
          <w:rStyle w:val="Emphasis"/>
        </w:rPr>
        <w:tab/>
      </w:r>
      <w:r w:rsidR="00837C1C">
        <w:rPr>
          <w:rStyle w:val="Emphasis"/>
        </w:rPr>
        <w:tab/>
      </w:r>
      <w:r w:rsidR="008709B1">
        <w:t>Not reactive under normal use</w:t>
      </w:r>
      <w:r>
        <w:t>.</w:t>
      </w:r>
    </w:p>
    <w:p w:rsidR="00AF78E8" w:rsidRDefault="00AF78E8" w:rsidP="004306CE">
      <w:pPr>
        <w:pStyle w:val="NoSpacing"/>
        <w:tabs>
          <w:tab w:val="left" w:pos="540"/>
        </w:tabs>
        <w:spacing w:line="360" w:lineRule="auto"/>
      </w:pPr>
    </w:p>
    <w:p w:rsidR="00AF78E8" w:rsidRDefault="00AF78E8" w:rsidP="004306CE">
      <w:pPr>
        <w:pStyle w:val="NoSpacing"/>
        <w:tabs>
          <w:tab w:val="left" w:pos="540"/>
        </w:tabs>
        <w:spacing w:line="360" w:lineRule="auto"/>
      </w:pPr>
      <w:r w:rsidRPr="004306CE">
        <w:rPr>
          <w:rStyle w:val="SubtleEmphasis"/>
        </w:rPr>
        <w:t>10.2</w:t>
      </w:r>
      <w:r>
        <w:tab/>
      </w:r>
      <w:r w:rsidRPr="004306CE">
        <w:rPr>
          <w:rStyle w:val="Emphasis"/>
        </w:rPr>
        <w:t>Chemical Stability</w:t>
      </w:r>
      <w:r w:rsidR="00837C1C">
        <w:rPr>
          <w:rStyle w:val="Emphasis"/>
        </w:rPr>
        <w:tab/>
      </w:r>
      <w:r w:rsidR="00837C1C">
        <w:rPr>
          <w:rStyle w:val="Emphasis"/>
        </w:rPr>
        <w:tab/>
      </w:r>
      <w:r>
        <w:tab/>
      </w:r>
      <w:r w:rsidR="00837C1C">
        <w:tab/>
      </w:r>
      <w:r>
        <w:t>Stable under normal use/storage conditions.</w:t>
      </w:r>
    </w:p>
    <w:p w:rsidR="00AF78E8" w:rsidRDefault="00AF78E8" w:rsidP="004306CE">
      <w:pPr>
        <w:pStyle w:val="NoSpacing"/>
        <w:tabs>
          <w:tab w:val="left" w:pos="540"/>
        </w:tabs>
        <w:spacing w:line="360" w:lineRule="auto"/>
      </w:pPr>
    </w:p>
    <w:p w:rsidR="00AF78E8" w:rsidRDefault="00AF78E8" w:rsidP="004306CE">
      <w:pPr>
        <w:pStyle w:val="NoSpacing"/>
        <w:tabs>
          <w:tab w:val="left" w:pos="540"/>
        </w:tabs>
        <w:spacing w:line="360" w:lineRule="auto"/>
      </w:pPr>
      <w:r w:rsidRPr="004306CE">
        <w:rPr>
          <w:rStyle w:val="SubtleEmphasis"/>
        </w:rPr>
        <w:t>10.3</w:t>
      </w:r>
      <w:r>
        <w:tab/>
      </w:r>
      <w:r w:rsidRPr="004306CE">
        <w:rPr>
          <w:rStyle w:val="Emphasis"/>
        </w:rPr>
        <w:t>Possibility of hazardous reactions</w:t>
      </w:r>
      <w:r w:rsidR="00837C1C">
        <w:rPr>
          <w:rStyle w:val="Emphasis"/>
        </w:rPr>
        <w:tab/>
      </w:r>
      <w:r>
        <w:tab/>
      </w:r>
      <w:r w:rsidR="00CB0466">
        <w:t xml:space="preserve">No dangerous reactions will occur under normal </w:t>
      </w:r>
      <w:r w:rsidR="00837C1C">
        <w:tab/>
      </w:r>
      <w:r w:rsidR="00837C1C">
        <w:tab/>
      </w:r>
      <w:r w:rsidR="00837C1C">
        <w:tab/>
      </w:r>
      <w:r w:rsidR="00837C1C">
        <w:tab/>
      </w:r>
      <w:r w:rsidR="00837C1C">
        <w:tab/>
      </w:r>
      <w:r w:rsidR="00837C1C">
        <w:tab/>
      </w:r>
      <w:r w:rsidR="00837C1C">
        <w:tab/>
      </w:r>
      <w:r w:rsidR="00837C1C">
        <w:tab/>
      </w:r>
      <w:r w:rsidR="00CB0466">
        <w:t>use/storage conditions.</w:t>
      </w:r>
    </w:p>
    <w:p w:rsidR="00CB0466" w:rsidRDefault="00CB0466" w:rsidP="004306CE">
      <w:pPr>
        <w:pStyle w:val="NoSpacing"/>
        <w:tabs>
          <w:tab w:val="left" w:pos="540"/>
        </w:tabs>
        <w:spacing w:line="360" w:lineRule="auto"/>
      </w:pPr>
    </w:p>
    <w:p w:rsidR="00AF78E8" w:rsidRDefault="00AF78E8" w:rsidP="00837C1C">
      <w:pPr>
        <w:pStyle w:val="NoSpacing"/>
        <w:tabs>
          <w:tab w:val="left" w:pos="540"/>
        </w:tabs>
        <w:spacing w:line="360" w:lineRule="auto"/>
      </w:pPr>
      <w:r w:rsidRPr="004306CE">
        <w:rPr>
          <w:rStyle w:val="SubtleEmphasis"/>
        </w:rPr>
        <w:t>10.4</w:t>
      </w:r>
      <w:r>
        <w:tab/>
      </w:r>
      <w:r w:rsidRPr="004306CE">
        <w:rPr>
          <w:rStyle w:val="Emphasis"/>
        </w:rPr>
        <w:t>Conditions to avoid</w:t>
      </w:r>
      <w:r w:rsidR="00837C1C">
        <w:rPr>
          <w:rStyle w:val="Emphasis"/>
        </w:rPr>
        <w:tab/>
      </w:r>
      <w:r w:rsidR="00837C1C">
        <w:rPr>
          <w:rStyle w:val="Emphasis"/>
        </w:rPr>
        <w:tab/>
      </w:r>
      <w:r w:rsidR="00837C1C">
        <w:rPr>
          <w:rStyle w:val="Emphasis"/>
        </w:rPr>
        <w:tab/>
      </w:r>
      <w:r w:rsidR="00CB0466">
        <w:t>Exposure to e</w:t>
      </w:r>
      <w:r w:rsidR="004306CE">
        <w:t>xtreme temperatures and contact</w:t>
      </w:r>
      <w:r w:rsidR="00837C1C">
        <w:tab/>
      </w:r>
      <w:r w:rsidR="00837C1C">
        <w:tab/>
      </w:r>
      <w:r w:rsidR="00837C1C">
        <w:tab/>
      </w:r>
      <w:r w:rsidR="00837C1C">
        <w:tab/>
      </w:r>
      <w:r w:rsidR="00837C1C">
        <w:tab/>
      </w:r>
      <w:r w:rsidR="00837C1C">
        <w:tab/>
      </w:r>
      <w:r w:rsidR="00837C1C">
        <w:tab/>
      </w:r>
      <w:r w:rsidR="00837C1C">
        <w:tab/>
      </w:r>
      <w:r w:rsidR="00837C1C">
        <w:tab/>
      </w:r>
      <w:r w:rsidR="004306CE">
        <w:t xml:space="preserve"> unwanted</w:t>
      </w:r>
      <w:r w:rsidR="00837C1C">
        <w:t xml:space="preserve"> </w:t>
      </w:r>
      <w:r w:rsidR="004306CE">
        <w:t>contact with incompatible materials</w:t>
      </w:r>
      <w:r w:rsidR="00CB0466">
        <w:t xml:space="preserve"> should </w:t>
      </w:r>
      <w:r w:rsidR="00837C1C">
        <w:tab/>
      </w:r>
      <w:r w:rsidR="00837C1C">
        <w:tab/>
      </w:r>
      <w:r w:rsidR="00837C1C">
        <w:tab/>
      </w:r>
      <w:r w:rsidR="00837C1C">
        <w:tab/>
      </w:r>
      <w:r w:rsidR="00837C1C">
        <w:tab/>
      </w:r>
      <w:r w:rsidR="00837C1C">
        <w:tab/>
      </w:r>
      <w:r w:rsidR="00837C1C">
        <w:tab/>
      </w:r>
      <w:r w:rsidR="00837C1C">
        <w:tab/>
      </w:r>
      <w:r w:rsidR="00CB0466">
        <w:t>be avoided.</w:t>
      </w:r>
    </w:p>
    <w:p w:rsidR="00CB0466" w:rsidRDefault="00CB0466" w:rsidP="004306CE">
      <w:pPr>
        <w:pStyle w:val="NoSpacing"/>
        <w:tabs>
          <w:tab w:val="left" w:pos="540"/>
        </w:tabs>
        <w:spacing w:line="360" w:lineRule="auto"/>
      </w:pPr>
    </w:p>
    <w:p w:rsidR="00AF78E8" w:rsidRDefault="00AF78E8" w:rsidP="00837C1C">
      <w:pPr>
        <w:pStyle w:val="NoSpacing"/>
        <w:tabs>
          <w:tab w:val="left" w:pos="540"/>
        </w:tabs>
        <w:spacing w:line="360" w:lineRule="auto"/>
      </w:pPr>
      <w:r w:rsidRPr="004306CE">
        <w:rPr>
          <w:rStyle w:val="SubtleEmphasis"/>
        </w:rPr>
        <w:t>10.5</w:t>
      </w:r>
      <w:r>
        <w:tab/>
      </w:r>
      <w:r w:rsidRPr="004306CE">
        <w:rPr>
          <w:rStyle w:val="Emphasis"/>
        </w:rPr>
        <w:t>Incompatible materials</w:t>
      </w:r>
      <w:r w:rsidR="00837C1C">
        <w:rPr>
          <w:rStyle w:val="Emphasis"/>
        </w:rPr>
        <w:tab/>
      </w:r>
      <w:r w:rsidR="00837C1C">
        <w:rPr>
          <w:rStyle w:val="Emphasis"/>
        </w:rPr>
        <w:tab/>
      </w:r>
      <w:r w:rsidR="00837C1C">
        <w:rPr>
          <w:rStyle w:val="Emphasis"/>
        </w:rPr>
        <w:tab/>
      </w:r>
      <w:r w:rsidR="008709B1">
        <w:t>Strong acids or bases</w:t>
      </w:r>
      <w:r w:rsidR="004306CE">
        <w:t>.</w:t>
      </w:r>
    </w:p>
    <w:p w:rsidR="004306CE" w:rsidRDefault="004306CE" w:rsidP="004306CE">
      <w:pPr>
        <w:pStyle w:val="NoSpacing"/>
        <w:tabs>
          <w:tab w:val="left" w:pos="540"/>
        </w:tabs>
        <w:spacing w:line="360" w:lineRule="auto"/>
        <w:ind w:left="540"/>
      </w:pPr>
    </w:p>
    <w:p w:rsidR="00AF78E8" w:rsidRDefault="00AF78E8" w:rsidP="004306CE">
      <w:pPr>
        <w:pStyle w:val="NoSpacing"/>
        <w:tabs>
          <w:tab w:val="left" w:pos="540"/>
        </w:tabs>
        <w:spacing w:line="360" w:lineRule="auto"/>
      </w:pPr>
      <w:r w:rsidRPr="004306CE">
        <w:rPr>
          <w:rStyle w:val="SubtleEmphasis"/>
        </w:rPr>
        <w:t>10.6</w:t>
      </w:r>
      <w:r>
        <w:tab/>
      </w:r>
      <w:r w:rsidRPr="004306CE">
        <w:rPr>
          <w:rStyle w:val="Emphasis"/>
        </w:rPr>
        <w:t>Hazardous decompositions products</w:t>
      </w:r>
    </w:p>
    <w:p w:rsidR="004306CE" w:rsidRPr="00BA047E" w:rsidRDefault="00BA047E" w:rsidP="00BA047E">
      <w:pPr>
        <w:pStyle w:val="NoSpacing"/>
        <w:ind w:left="540"/>
        <w:jc w:val="both"/>
      </w:pPr>
      <w:r w:rsidRPr="00BA047E">
        <w:t xml:space="preserve">Decomposition through burning produces fumes consisting of organic particulate, gaseous hydrocarbons, carbon dioxide, carbon monoxide and may contain traces of toluene diisocyanate (TDI) or diphenylmethane diisocyanate (MDI), other isocyanates, </w:t>
      </w:r>
      <w:r w:rsidR="00667F21">
        <w:t>MBOCA</w:t>
      </w:r>
      <w:r w:rsidRPr="00BA047E">
        <w:t>, hydrogen cyanide, acrolein</w:t>
      </w:r>
      <w:r w:rsidR="00667F21">
        <w:t>,</w:t>
      </w:r>
      <w:r w:rsidRPr="00BA047E">
        <w:t xml:space="preserve"> and oxides of nitrogen.</w:t>
      </w:r>
    </w:p>
    <w:p w:rsidR="00AF78E8" w:rsidRDefault="004306CE" w:rsidP="004306CE">
      <w:pPr>
        <w:pStyle w:val="NoSpacing"/>
        <w:tabs>
          <w:tab w:val="left" w:pos="540"/>
        </w:tabs>
        <w:spacing w:line="360" w:lineRule="auto"/>
      </w:pPr>
      <w:r>
        <w:lastRenderedPageBreak/>
        <w:tab/>
      </w:r>
    </w:p>
    <w:p w:rsidR="00424C9E" w:rsidRDefault="00424C9E" w:rsidP="00424C9E">
      <w:pPr>
        <w:pStyle w:val="Heading2"/>
        <w:pBdr>
          <w:bottom w:val="double" w:sz="6" w:space="1" w:color="auto"/>
        </w:pBdr>
      </w:pPr>
      <w:r>
        <w:t>11. Toxicological Information</w:t>
      </w:r>
    </w:p>
    <w:p w:rsidR="00424C9E" w:rsidRDefault="00424C9E" w:rsidP="007323BC">
      <w:pPr>
        <w:pStyle w:val="NoSpacing"/>
        <w:tabs>
          <w:tab w:val="left" w:pos="540"/>
        </w:tabs>
      </w:pPr>
    </w:p>
    <w:p w:rsidR="00424C9E" w:rsidRDefault="004B4B1A" w:rsidP="008B0BD5">
      <w:pPr>
        <w:pStyle w:val="NoSpacing"/>
        <w:tabs>
          <w:tab w:val="left" w:pos="540"/>
        </w:tabs>
        <w:spacing w:line="360" w:lineRule="auto"/>
      </w:pPr>
      <w:r w:rsidRPr="00B457EC">
        <w:rPr>
          <w:rStyle w:val="SubtleEmphasis"/>
        </w:rPr>
        <w:t>11.1</w:t>
      </w:r>
      <w:r>
        <w:tab/>
      </w:r>
      <w:r w:rsidRPr="00B457EC">
        <w:rPr>
          <w:rStyle w:val="Emphasis"/>
        </w:rPr>
        <w:t>Information on toxicological effects</w:t>
      </w:r>
    </w:p>
    <w:p w:rsidR="005F4CD0" w:rsidRPr="00837C1C" w:rsidRDefault="004B4B1A" w:rsidP="008B0BD5">
      <w:pPr>
        <w:pStyle w:val="NoSpacing"/>
        <w:tabs>
          <w:tab w:val="left" w:pos="540"/>
        </w:tabs>
        <w:spacing w:line="360" w:lineRule="auto"/>
        <w:rPr>
          <w:color w:val="000000" w:themeColor="text1"/>
        </w:rPr>
      </w:pPr>
      <w:r w:rsidRPr="00837C1C">
        <w:rPr>
          <w:color w:val="000000" w:themeColor="text1"/>
        </w:rPr>
        <w:tab/>
      </w:r>
      <w:r w:rsidR="005F4CD0" w:rsidRPr="00837C1C">
        <w:rPr>
          <w:rStyle w:val="IntenseEmphasis"/>
          <w:b w:val="0"/>
          <w:color w:val="000000" w:themeColor="text1"/>
        </w:rPr>
        <w:t>Acute Toxicity (product):</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5F4CD0" w:rsidRPr="00837C1C">
        <w:rPr>
          <w:color w:val="000000" w:themeColor="text1"/>
        </w:rPr>
        <w:t>No data available</w:t>
      </w:r>
      <w:r w:rsidR="00F702DF" w:rsidRPr="00837C1C">
        <w:rPr>
          <w:color w:val="000000" w:themeColor="text1"/>
        </w:rPr>
        <w:t xml:space="preserve"> on product.</w:t>
      </w:r>
    </w:p>
    <w:p w:rsidR="004B4B1A" w:rsidRPr="00837C1C" w:rsidRDefault="004B4B1A" w:rsidP="007B45F9">
      <w:pPr>
        <w:pStyle w:val="NoSpacing"/>
        <w:tabs>
          <w:tab w:val="left" w:pos="540"/>
        </w:tabs>
        <w:ind w:firstLine="720"/>
        <w:rPr>
          <w:color w:val="000000" w:themeColor="text1"/>
          <w:sz w:val="10"/>
        </w:rPr>
      </w:pPr>
    </w:p>
    <w:p w:rsidR="00D261CA" w:rsidRPr="00837C1C" w:rsidRDefault="00D261CA"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Skin</w:t>
      </w:r>
      <w:r w:rsidR="00186C5D" w:rsidRPr="00837C1C">
        <w:rPr>
          <w:rStyle w:val="IntenseEmphasis"/>
          <w:b w:val="0"/>
          <w:color w:val="000000" w:themeColor="text1"/>
        </w:rPr>
        <w:t xml:space="preserve"> and eye corrosion/i</w:t>
      </w:r>
      <w:r w:rsidRPr="00837C1C">
        <w:rPr>
          <w:rStyle w:val="IntenseEmphasis"/>
          <w:b w:val="0"/>
          <w:color w:val="000000" w:themeColor="text1"/>
        </w:rPr>
        <w:t>rritation (product)</w:t>
      </w:r>
      <w:r w:rsidR="00837C1C">
        <w:rPr>
          <w:rStyle w:val="IntenseEmphasis"/>
          <w:b w:val="0"/>
          <w:color w:val="000000" w:themeColor="text1"/>
        </w:rPr>
        <w:tab/>
      </w:r>
      <w:r w:rsidR="00837C1C">
        <w:rPr>
          <w:rStyle w:val="IntenseEmphasis"/>
          <w:b w:val="0"/>
          <w:color w:val="000000" w:themeColor="text1"/>
        </w:rPr>
        <w:tab/>
      </w:r>
      <w:r w:rsidR="00837C1C">
        <w:rPr>
          <w:color w:val="000000" w:themeColor="text1"/>
        </w:rPr>
        <w:t>No</w:t>
      </w:r>
      <w:r w:rsidRPr="00837C1C">
        <w:rPr>
          <w:color w:val="000000" w:themeColor="text1"/>
        </w:rPr>
        <w:t xml:space="preserve"> data available</w:t>
      </w:r>
      <w:r w:rsidR="00F702DF" w:rsidRPr="00837C1C">
        <w:rPr>
          <w:color w:val="000000" w:themeColor="text1"/>
        </w:rPr>
        <w:t xml:space="preserve"> on product.</w:t>
      </w:r>
    </w:p>
    <w:p w:rsidR="00186C5D" w:rsidRPr="00837C1C" w:rsidRDefault="00186C5D" w:rsidP="001D07F1">
      <w:pPr>
        <w:pStyle w:val="NoSpacing"/>
        <w:tabs>
          <w:tab w:val="left" w:pos="540"/>
        </w:tabs>
        <w:rPr>
          <w:color w:val="000000" w:themeColor="text1"/>
          <w:sz w:val="10"/>
        </w:rPr>
      </w:pPr>
    </w:p>
    <w:p w:rsidR="00186C5D" w:rsidRPr="00837C1C" w:rsidRDefault="00186C5D"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Sensitization (product):</w:t>
      </w:r>
      <w:r w:rsidRPr="00837C1C">
        <w:rPr>
          <w:color w:val="000000" w:themeColor="text1"/>
        </w:rPr>
        <w:t xml:space="preserve"> </w:t>
      </w:r>
      <w:r w:rsidR="00837C1C">
        <w:rPr>
          <w:color w:val="000000" w:themeColor="text1"/>
        </w:rPr>
        <w:tab/>
      </w:r>
      <w:r w:rsidR="00837C1C">
        <w:rPr>
          <w:color w:val="000000" w:themeColor="text1"/>
        </w:rPr>
        <w:tab/>
      </w:r>
      <w:r w:rsidR="00837C1C">
        <w:rPr>
          <w:color w:val="000000" w:themeColor="text1"/>
        </w:rPr>
        <w:tab/>
      </w:r>
      <w:r w:rsidR="00B457EC" w:rsidRPr="00837C1C">
        <w:rPr>
          <w:color w:val="000000" w:themeColor="text1"/>
        </w:rPr>
        <w:tab/>
      </w:r>
      <w:r w:rsidRPr="00837C1C">
        <w:rPr>
          <w:color w:val="000000" w:themeColor="text1"/>
        </w:rPr>
        <w:t>No data available</w:t>
      </w:r>
      <w:r w:rsidR="00F702DF" w:rsidRPr="00837C1C">
        <w:rPr>
          <w:color w:val="000000" w:themeColor="text1"/>
        </w:rPr>
        <w:t xml:space="preserve"> on product.</w:t>
      </w:r>
    </w:p>
    <w:p w:rsidR="00186C5D" w:rsidRPr="00837C1C" w:rsidRDefault="00186C5D" w:rsidP="001D07F1">
      <w:pPr>
        <w:pStyle w:val="NoSpacing"/>
        <w:tabs>
          <w:tab w:val="left" w:pos="540"/>
        </w:tabs>
        <w:rPr>
          <w:color w:val="000000" w:themeColor="text1"/>
          <w:sz w:val="10"/>
        </w:rPr>
      </w:pPr>
    </w:p>
    <w:p w:rsidR="007537D5"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Mutagenicity:</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Pr="00837C1C">
        <w:rPr>
          <w:color w:val="000000" w:themeColor="text1"/>
        </w:rPr>
        <w:tab/>
        <w:t>No data available</w:t>
      </w:r>
      <w:r w:rsidR="00F702DF" w:rsidRPr="00837C1C">
        <w:rPr>
          <w:color w:val="000000" w:themeColor="text1"/>
        </w:rPr>
        <w:t xml:space="preserve"> on product.</w:t>
      </w:r>
    </w:p>
    <w:p w:rsidR="007537D5" w:rsidRPr="00837C1C" w:rsidRDefault="007537D5" w:rsidP="008B0BD5">
      <w:pPr>
        <w:pStyle w:val="NoSpacing"/>
        <w:tabs>
          <w:tab w:val="left" w:pos="540"/>
        </w:tabs>
        <w:spacing w:line="360" w:lineRule="auto"/>
        <w:rPr>
          <w:color w:val="000000" w:themeColor="text1"/>
          <w:sz w:val="12"/>
        </w:rPr>
      </w:pPr>
    </w:p>
    <w:p w:rsidR="007537D5"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Carcinogenicity:</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Pr="00837C1C">
        <w:rPr>
          <w:color w:val="000000" w:themeColor="text1"/>
        </w:rPr>
        <w:tab/>
        <w:t>No data available</w:t>
      </w:r>
      <w:r w:rsidR="00F702DF" w:rsidRPr="00837C1C">
        <w:rPr>
          <w:color w:val="000000" w:themeColor="text1"/>
        </w:rPr>
        <w:t xml:space="preserve"> on product.</w:t>
      </w:r>
    </w:p>
    <w:p w:rsidR="007537D5" w:rsidRPr="00837C1C" w:rsidRDefault="007537D5" w:rsidP="008B0BD5">
      <w:pPr>
        <w:pStyle w:val="NoSpacing"/>
        <w:tabs>
          <w:tab w:val="left" w:pos="540"/>
        </w:tabs>
        <w:spacing w:line="360" w:lineRule="auto"/>
        <w:rPr>
          <w:color w:val="000000" w:themeColor="text1"/>
          <w:sz w:val="10"/>
        </w:rPr>
      </w:pPr>
    </w:p>
    <w:p w:rsidR="007537D5"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Reproductive Toxicity:</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Pr="00837C1C">
        <w:rPr>
          <w:color w:val="000000" w:themeColor="text1"/>
        </w:rPr>
        <w:t>No data available</w:t>
      </w:r>
      <w:r w:rsidR="00F702DF" w:rsidRPr="00837C1C">
        <w:rPr>
          <w:color w:val="000000" w:themeColor="text1"/>
        </w:rPr>
        <w:t xml:space="preserve"> on product.</w:t>
      </w:r>
    </w:p>
    <w:p w:rsidR="007537D5" w:rsidRPr="00837C1C" w:rsidRDefault="007537D5" w:rsidP="008B0BD5">
      <w:pPr>
        <w:pStyle w:val="NoSpacing"/>
        <w:tabs>
          <w:tab w:val="left" w:pos="540"/>
        </w:tabs>
        <w:spacing w:line="360" w:lineRule="auto"/>
        <w:rPr>
          <w:color w:val="000000" w:themeColor="text1"/>
          <w:sz w:val="10"/>
        </w:rPr>
      </w:pPr>
    </w:p>
    <w:p w:rsidR="007537D5"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STOT-SE:</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Pr="00837C1C">
        <w:rPr>
          <w:color w:val="000000" w:themeColor="text1"/>
        </w:rPr>
        <w:tab/>
        <w:t>No data available</w:t>
      </w:r>
      <w:r w:rsidR="00F702DF" w:rsidRPr="00837C1C">
        <w:rPr>
          <w:color w:val="000000" w:themeColor="text1"/>
        </w:rPr>
        <w:t xml:space="preserve"> on product.</w:t>
      </w:r>
    </w:p>
    <w:p w:rsidR="007537D5" w:rsidRPr="00837C1C" w:rsidRDefault="007537D5" w:rsidP="008B0BD5">
      <w:pPr>
        <w:pStyle w:val="NoSpacing"/>
        <w:tabs>
          <w:tab w:val="left" w:pos="540"/>
        </w:tabs>
        <w:spacing w:line="360" w:lineRule="auto"/>
        <w:rPr>
          <w:color w:val="000000" w:themeColor="text1"/>
          <w:sz w:val="10"/>
        </w:rPr>
      </w:pPr>
    </w:p>
    <w:p w:rsidR="007537D5"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STOT-SE (toluene diisocyanate):</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Pr="00837C1C">
        <w:rPr>
          <w:color w:val="000000" w:themeColor="text1"/>
        </w:rPr>
        <w:t>Respiratory Tract Irritant</w:t>
      </w:r>
      <w:r w:rsidR="00837C1C">
        <w:rPr>
          <w:color w:val="000000" w:themeColor="text1"/>
        </w:rPr>
        <w:tab/>
      </w:r>
    </w:p>
    <w:p w:rsidR="007537D5" w:rsidRPr="00837C1C" w:rsidRDefault="007537D5" w:rsidP="008B0BD5">
      <w:pPr>
        <w:pStyle w:val="NoSpacing"/>
        <w:tabs>
          <w:tab w:val="left" w:pos="540"/>
        </w:tabs>
        <w:spacing w:line="360" w:lineRule="auto"/>
        <w:rPr>
          <w:color w:val="000000" w:themeColor="text1"/>
          <w:sz w:val="10"/>
        </w:rPr>
      </w:pPr>
    </w:p>
    <w:p w:rsidR="007537D5"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Pr="00837C1C">
        <w:rPr>
          <w:rStyle w:val="IntenseEmphasis"/>
          <w:b w:val="0"/>
          <w:color w:val="000000" w:themeColor="text1"/>
        </w:rPr>
        <w:t>STOT-RE:</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Pr="00837C1C">
        <w:rPr>
          <w:color w:val="000000" w:themeColor="text1"/>
        </w:rPr>
        <w:tab/>
        <w:t>No data available</w:t>
      </w:r>
      <w:r w:rsidR="00F702DF" w:rsidRPr="00837C1C">
        <w:rPr>
          <w:color w:val="000000" w:themeColor="text1"/>
        </w:rPr>
        <w:t xml:space="preserve"> on product.</w:t>
      </w:r>
    </w:p>
    <w:p w:rsidR="007537D5" w:rsidRPr="00837C1C" w:rsidRDefault="007537D5" w:rsidP="008B0BD5">
      <w:pPr>
        <w:pStyle w:val="NoSpacing"/>
        <w:tabs>
          <w:tab w:val="left" w:pos="540"/>
        </w:tabs>
        <w:spacing w:line="360" w:lineRule="auto"/>
        <w:rPr>
          <w:color w:val="000000" w:themeColor="text1"/>
          <w:sz w:val="10"/>
        </w:rPr>
      </w:pPr>
    </w:p>
    <w:p w:rsidR="00B457EC" w:rsidRPr="00837C1C" w:rsidRDefault="007537D5" w:rsidP="008B0BD5">
      <w:pPr>
        <w:pStyle w:val="NoSpacing"/>
        <w:tabs>
          <w:tab w:val="left" w:pos="540"/>
        </w:tabs>
        <w:spacing w:line="360" w:lineRule="auto"/>
        <w:rPr>
          <w:color w:val="000000" w:themeColor="text1"/>
        </w:rPr>
      </w:pPr>
      <w:r w:rsidRPr="00837C1C">
        <w:rPr>
          <w:color w:val="000000" w:themeColor="text1"/>
        </w:rPr>
        <w:tab/>
      </w:r>
      <w:r w:rsidR="00B457EC" w:rsidRPr="00837C1C">
        <w:rPr>
          <w:rStyle w:val="IntenseEmphasis"/>
          <w:b w:val="0"/>
          <w:color w:val="000000" w:themeColor="text1"/>
        </w:rPr>
        <w:t>Aspiration:</w:t>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837C1C">
        <w:rPr>
          <w:rStyle w:val="IntenseEmphasis"/>
          <w:b w:val="0"/>
          <w:color w:val="000000" w:themeColor="text1"/>
        </w:rPr>
        <w:tab/>
      </w:r>
      <w:r w:rsidR="00B457EC" w:rsidRPr="00837C1C">
        <w:rPr>
          <w:color w:val="000000" w:themeColor="text1"/>
        </w:rPr>
        <w:tab/>
        <w:t>Not an aspiration hazard</w:t>
      </w:r>
    </w:p>
    <w:p w:rsidR="00424C9E" w:rsidRDefault="00424C9E" w:rsidP="00424C9E">
      <w:pPr>
        <w:pStyle w:val="Heading2"/>
        <w:pBdr>
          <w:bottom w:val="double" w:sz="6" w:space="1" w:color="auto"/>
        </w:pBdr>
      </w:pPr>
      <w:r>
        <w:t>12. Ecological Information</w:t>
      </w:r>
    </w:p>
    <w:p w:rsidR="00424C9E" w:rsidRDefault="00424C9E" w:rsidP="007323BC">
      <w:pPr>
        <w:pStyle w:val="NoSpacing"/>
        <w:tabs>
          <w:tab w:val="left" w:pos="540"/>
        </w:tabs>
      </w:pPr>
    </w:p>
    <w:p w:rsidR="0000199E" w:rsidRDefault="0000199E" w:rsidP="001D07F1">
      <w:pPr>
        <w:pStyle w:val="NoSpacing"/>
        <w:tabs>
          <w:tab w:val="left" w:pos="540"/>
        </w:tabs>
        <w:spacing w:line="360" w:lineRule="auto"/>
      </w:pPr>
      <w:r w:rsidRPr="007B16A7">
        <w:rPr>
          <w:rStyle w:val="SubtleEmphasis"/>
        </w:rPr>
        <w:t>12.1</w:t>
      </w:r>
      <w:r>
        <w:tab/>
      </w:r>
      <w:r w:rsidRPr="007B16A7">
        <w:rPr>
          <w:rStyle w:val="Emphasis"/>
        </w:rPr>
        <w:t>Toxicity</w:t>
      </w:r>
      <w:r w:rsidR="00837C1C">
        <w:rPr>
          <w:rStyle w:val="Emphasis"/>
        </w:rPr>
        <w:tab/>
      </w:r>
      <w:r w:rsidR="00837C1C">
        <w:rPr>
          <w:rStyle w:val="Emphasis"/>
        </w:rPr>
        <w:tab/>
      </w:r>
      <w:r w:rsidR="00837C1C">
        <w:rPr>
          <w:rStyle w:val="Emphasis"/>
        </w:rPr>
        <w:tab/>
      </w:r>
      <w:r w:rsidR="00837C1C">
        <w:rPr>
          <w:rStyle w:val="Emphasis"/>
        </w:rPr>
        <w:tab/>
      </w:r>
      <w:r w:rsidR="00837C1C">
        <w:rPr>
          <w:rStyle w:val="Emphasis"/>
        </w:rPr>
        <w:tab/>
      </w:r>
      <w:r w:rsidR="00837C1C">
        <w:rPr>
          <w:rStyle w:val="Emphasis"/>
        </w:rPr>
        <w:tab/>
      </w:r>
      <w:r w:rsidR="001D07F1">
        <w:t>Not applicable under normal conditions.</w:t>
      </w:r>
    </w:p>
    <w:p w:rsidR="0000199E" w:rsidRDefault="0000199E" w:rsidP="007323BC">
      <w:pPr>
        <w:pStyle w:val="NoSpacing"/>
        <w:tabs>
          <w:tab w:val="left" w:pos="540"/>
        </w:tabs>
      </w:pPr>
    </w:p>
    <w:p w:rsidR="0000199E" w:rsidRDefault="0000199E" w:rsidP="008B0BD5">
      <w:pPr>
        <w:pStyle w:val="NoSpacing"/>
        <w:tabs>
          <w:tab w:val="left" w:pos="540"/>
        </w:tabs>
        <w:spacing w:line="360" w:lineRule="auto"/>
      </w:pPr>
      <w:r w:rsidRPr="007B16A7">
        <w:rPr>
          <w:rStyle w:val="SubtleEmphasis"/>
        </w:rPr>
        <w:t>12.2</w:t>
      </w:r>
      <w:r>
        <w:tab/>
      </w:r>
      <w:r w:rsidRPr="007B16A7">
        <w:rPr>
          <w:rStyle w:val="Emphasis"/>
        </w:rPr>
        <w:t>Persistence and degradability</w:t>
      </w:r>
      <w:r w:rsidR="00837C1C">
        <w:rPr>
          <w:rStyle w:val="Emphasis"/>
        </w:rPr>
        <w:tab/>
      </w:r>
      <w:r w:rsidR="00837C1C">
        <w:rPr>
          <w:rStyle w:val="Emphasis"/>
        </w:rPr>
        <w:tab/>
      </w:r>
      <w:r w:rsidR="00837C1C">
        <w:rPr>
          <w:rStyle w:val="Emphasis"/>
        </w:rPr>
        <w:tab/>
      </w:r>
      <w:r>
        <w:t>Product is not expected to rapidly biodegrade.</w:t>
      </w:r>
    </w:p>
    <w:p w:rsidR="0000199E" w:rsidRDefault="0000199E" w:rsidP="008B0BD5">
      <w:pPr>
        <w:pStyle w:val="NoSpacing"/>
        <w:tabs>
          <w:tab w:val="left" w:pos="540"/>
        </w:tabs>
        <w:spacing w:line="360" w:lineRule="auto"/>
      </w:pPr>
    </w:p>
    <w:p w:rsidR="0000199E" w:rsidRDefault="0000199E" w:rsidP="008B0BD5">
      <w:pPr>
        <w:pStyle w:val="NoSpacing"/>
        <w:tabs>
          <w:tab w:val="left" w:pos="540"/>
        </w:tabs>
        <w:spacing w:line="360" w:lineRule="auto"/>
      </w:pPr>
      <w:r w:rsidRPr="007B16A7">
        <w:rPr>
          <w:rStyle w:val="SubtleEmphasis"/>
        </w:rPr>
        <w:t>12.3</w:t>
      </w:r>
      <w:r>
        <w:tab/>
      </w:r>
      <w:proofErr w:type="spellStart"/>
      <w:r w:rsidRPr="007B16A7">
        <w:rPr>
          <w:rStyle w:val="Emphasis"/>
        </w:rPr>
        <w:t>Bioaccumulative</w:t>
      </w:r>
      <w:proofErr w:type="spellEnd"/>
      <w:r w:rsidRPr="007B16A7">
        <w:rPr>
          <w:rStyle w:val="Emphasis"/>
        </w:rPr>
        <w:t xml:space="preserve"> potential</w:t>
      </w:r>
      <w:r w:rsidR="00837C1C">
        <w:rPr>
          <w:rStyle w:val="Emphasis"/>
        </w:rPr>
        <w:tab/>
      </w:r>
      <w:r w:rsidR="00837C1C">
        <w:rPr>
          <w:rStyle w:val="Emphasis"/>
        </w:rPr>
        <w:tab/>
      </w:r>
      <w:r w:rsidR="00837C1C">
        <w:rPr>
          <w:rStyle w:val="Emphasis"/>
        </w:rPr>
        <w:tab/>
      </w:r>
      <w:r w:rsidR="00F702DF">
        <w:tab/>
        <w:t>Not data available on product.</w:t>
      </w:r>
    </w:p>
    <w:p w:rsidR="0000199E" w:rsidRDefault="0000199E" w:rsidP="008B0BD5">
      <w:pPr>
        <w:pStyle w:val="NoSpacing"/>
        <w:tabs>
          <w:tab w:val="left" w:pos="540"/>
        </w:tabs>
        <w:spacing w:line="360" w:lineRule="auto"/>
      </w:pPr>
    </w:p>
    <w:p w:rsidR="0000199E" w:rsidRDefault="0000199E" w:rsidP="008B0BD5">
      <w:pPr>
        <w:pStyle w:val="NoSpacing"/>
        <w:tabs>
          <w:tab w:val="left" w:pos="540"/>
        </w:tabs>
        <w:spacing w:line="360" w:lineRule="auto"/>
      </w:pPr>
      <w:r w:rsidRPr="007B16A7">
        <w:rPr>
          <w:rStyle w:val="SubtleEmphasis"/>
        </w:rPr>
        <w:t>12.4</w:t>
      </w:r>
      <w:r>
        <w:tab/>
      </w:r>
      <w:r w:rsidRPr="007B16A7">
        <w:rPr>
          <w:rStyle w:val="Emphasis"/>
        </w:rPr>
        <w:t>Mobility in soil</w:t>
      </w:r>
      <w:r w:rsidR="00837C1C">
        <w:rPr>
          <w:rStyle w:val="Emphasis"/>
        </w:rPr>
        <w:tab/>
      </w:r>
      <w:r w:rsidR="00837C1C">
        <w:rPr>
          <w:rStyle w:val="Emphasis"/>
        </w:rPr>
        <w:tab/>
      </w:r>
      <w:r w:rsidR="00837C1C">
        <w:rPr>
          <w:rStyle w:val="Emphasis"/>
        </w:rPr>
        <w:tab/>
      </w:r>
      <w:r w:rsidR="00837C1C">
        <w:rPr>
          <w:rStyle w:val="Emphasis"/>
        </w:rPr>
        <w:tab/>
      </w:r>
      <w:r w:rsidR="00F702DF">
        <w:tab/>
        <w:t>No data available on product.</w:t>
      </w:r>
    </w:p>
    <w:p w:rsidR="0000199E" w:rsidRDefault="0000199E" w:rsidP="008B0BD5">
      <w:pPr>
        <w:pStyle w:val="NoSpacing"/>
        <w:tabs>
          <w:tab w:val="left" w:pos="540"/>
        </w:tabs>
        <w:spacing w:line="360" w:lineRule="auto"/>
      </w:pPr>
    </w:p>
    <w:p w:rsidR="00424C9E" w:rsidRDefault="00424C9E" w:rsidP="00424C9E">
      <w:pPr>
        <w:pStyle w:val="Heading2"/>
        <w:pBdr>
          <w:bottom w:val="double" w:sz="6" w:space="1" w:color="auto"/>
        </w:pBdr>
      </w:pPr>
      <w:r>
        <w:t>13. Disposal Considerations</w:t>
      </w:r>
    </w:p>
    <w:p w:rsidR="00424C9E" w:rsidRDefault="00424C9E" w:rsidP="007323BC">
      <w:pPr>
        <w:pStyle w:val="NoSpacing"/>
        <w:tabs>
          <w:tab w:val="left" w:pos="540"/>
        </w:tabs>
      </w:pPr>
    </w:p>
    <w:p w:rsidR="00424C9E" w:rsidRDefault="007B16A7" w:rsidP="008B0BD5">
      <w:pPr>
        <w:pStyle w:val="NoSpacing"/>
        <w:tabs>
          <w:tab w:val="left" w:pos="540"/>
        </w:tabs>
        <w:spacing w:line="360" w:lineRule="auto"/>
      </w:pPr>
      <w:r w:rsidRPr="007B16A7">
        <w:rPr>
          <w:rStyle w:val="SubtleEmphasis"/>
        </w:rPr>
        <w:t>13.1</w:t>
      </w:r>
      <w:r>
        <w:tab/>
      </w:r>
      <w:r w:rsidRPr="007B16A7">
        <w:rPr>
          <w:rStyle w:val="Emphasis"/>
        </w:rPr>
        <w:t>Waste treatments methods</w:t>
      </w:r>
    </w:p>
    <w:p w:rsidR="007B16A7" w:rsidRDefault="007B16A7" w:rsidP="008B0BD5">
      <w:pPr>
        <w:pStyle w:val="NoSpacing"/>
        <w:tabs>
          <w:tab w:val="left" w:pos="540"/>
        </w:tabs>
        <w:spacing w:line="360" w:lineRule="auto"/>
      </w:pPr>
      <w:r>
        <w:tab/>
        <w:t>Follow all applicable local, state, and federal disposal regulations.</w:t>
      </w:r>
    </w:p>
    <w:p w:rsidR="007B45F9" w:rsidRDefault="007B45F9" w:rsidP="00424C9E">
      <w:pPr>
        <w:pStyle w:val="Heading2"/>
        <w:pBdr>
          <w:bottom w:val="double" w:sz="6" w:space="1" w:color="auto"/>
        </w:pBdr>
      </w:pPr>
    </w:p>
    <w:p w:rsidR="00424C9E" w:rsidRDefault="00424C9E" w:rsidP="00424C9E">
      <w:pPr>
        <w:pStyle w:val="Heading2"/>
        <w:pBdr>
          <w:bottom w:val="double" w:sz="6" w:space="1" w:color="auto"/>
        </w:pBdr>
      </w:pPr>
      <w:r>
        <w:t>14. Transport Information</w:t>
      </w:r>
    </w:p>
    <w:p w:rsidR="00424C9E" w:rsidRDefault="00424C9E" w:rsidP="007323BC">
      <w:pPr>
        <w:pStyle w:val="NoSpacing"/>
        <w:tabs>
          <w:tab w:val="left" w:pos="540"/>
        </w:tabs>
      </w:pPr>
    </w:p>
    <w:p w:rsidR="00424C9E" w:rsidRDefault="007B16A7" w:rsidP="007323BC">
      <w:pPr>
        <w:pStyle w:val="NoSpacing"/>
        <w:tabs>
          <w:tab w:val="left" w:pos="540"/>
        </w:tabs>
      </w:pPr>
      <w:r>
        <w:t>14.1</w:t>
      </w:r>
      <w:r w:rsidR="00336C43">
        <w:tab/>
      </w:r>
      <w:r w:rsidR="007119FA">
        <w:t xml:space="preserve">UN </w:t>
      </w:r>
      <w:r w:rsidR="00336C43">
        <w:t>n</w:t>
      </w:r>
      <w:r w:rsidR="007119FA">
        <w:t>umber</w:t>
      </w:r>
      <w:r w:rsidR="00F71CCC">
        <w:t xml:space="preserve">: </w:t>
      </w:r>
      <w:r w:rsidR="00837C1C">
        <w:tab/>
      </w:r>
      <w:r w:rsidR="00837C1C">
        <w:tab/>
      </w:r>
      <w:r w:rsidR="00837C1C">
        <w:tab/>
      </w:r>
      <w:r w:rsidR="00F71CCC">
        <w:t>Not regulated</w:t>
      </w:r>
    </w:p>
    <w:p w:rsidR="007119FA" w:rsidRDefault="007119FA" w:rsidP="007323BC">
      <w:pPr>
        <w:pStyle w:val="NoSpacing"/>
        <w:tabs>
          <w:tab w:val="left" w:pos="540"/>
        </w:tabs>
      </w:pPr>
    </w:p>
    <w:p w:rsidR="007119FA" w:rsidRDefault="00336C43" w:rsidP="007323BC">
      <w:pPr>
        <w:pStyle w:val="NoSpacing"/>
        <w:tabs>
          <w:tab w:val="left" w:pos="540"/>
        </w:tabs>
      </w:pPr>
      <w:r>
        <w:t>14.2</w:t>
      </w:r>
      <w:r>
        <w:tab/>
      </w:r>
      <w:r w:rsidR="007119FA">
        <w:t>Proper shipping name</w:t>
      </w:r>
      <w:r w:rsidR="00F71CCC">
        <w:t xml:space="preserve">: </w:t>
      </w:r>
      <w:r w:rsidR="00837C1C">
        <w:tab/>
      </w:r>
      <w:r w:rsidR="00837C1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14.3</w:t>
      </w:r>
      <w:r>
        <w:tab/>
        <w:t>Hazard class</w:t>
      </w:r>
      <w:r w:rsidR="00F71CCC">
        <w:t xml:space="preserve">: </w:t>
      </w:r>
      <w:r w:rsidR="00837C1C">
        <w:tab/>
      </w:r>
      <w:r w:rsidR="00837C1C">
        <w:tab/>
      </w:r>
      <w:r w:rsidR="00837C1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14.4</w:t>
      </w:r>
      <w:r>
        <w:tab/>
        <w:t>Packing group</w:t>
      </w:r>
      <w:r w:rsidR="00F71CCC">
        <w:t xml:space="preserve">: </w:t>
      </w:r>
      <w:r w:rsidR="00837C1C">
        <w:tab/>
      </w:r>
      <w:r w:rsidR="00837C1C">
        <w:tab/>
      </w:r>
      <w:r w:rsidR="00837C1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14.5</w:t>
      </w:r>
      <w:r>
        <w:tab/>
        <w:t>Environmental hazards</w:t>
      </w:r>
      <w:r w:rsidR="00F71CCC">
        <w:t xml:space="preserve">: </w:t>
      </w:r>
      <w:r w:rsidR="00837C1C">
        <w:tab/>
      </w:r>
      <w:r w:rsidR="00837C1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14.6</w:t>
      </w:r>
      <w:r>
        <w:tab/>
        <w:t>Special precautions for the user</w:t>
      </w:r>
      <w:r w:rsidR="00F71CCC">
        <w:t xml:space="preserve">: </w:t>
      </w:r>
      <w:r w:rsidR="00837C1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14.7</w:t>
      </w:r>
      <w:r>
        <w:tab/>
        <w:t>Transport in bulk information</w:t>
      </w:r>
      <w:r w:rsidR="00F71CCC">
        <w:t xml:space="preserve">: </w:t>
      </w:r>
      <w:r w:rsidR="00837C1C">
        <w:tab/>
      </w:r>
      <w:r w:rsidR="00F71CCC">
        <w:t>Not regulated</w:t>
      </w:r>
    </w:p>
    <w:p w:rsidR="00424C9E" w:rsidRDefault="00424C9E" w:rsidP="00424C9E">
      <w:pPr>
        <w:pStyle w:val="Heading2"/>
        <w:pBdr>
          <w:bottom w:val="double" w:sz="6" w:space="1" w:color="auto"/>
        </w:pBdr>
      </w:pPr>
      <w:r>
        <w:t>15. Regulatory Information</w:t>
      </w:r>
    </w:p>
    <w:p w:rsidR="00424C9E" w:rsidRDefault="00424C9E" w:rsidP="007323BC">
      <w:pPr>
        <w:pStyle w:val="NoSpacing"/>
        <w:tabs>
          <w:tab w:val="left" w:pos="540"/>
        </w:tabs>
      </w:pPr>
    </w:p>
    <w:p w:rsidR="00424C9E" w:rsidRDefault="003F73A4" w:rsidP="007323BC">
      <w:pPr>
        <w:pStyle w:val="NoSpacing"/>
        <w:tabs>
          <w:tab w:val="left" w:pos="540"/>
        </w:tabs>
      </w:pPr>
      <w:r>
        <w:t>15.1</w:t>
      </w:r>
      <w:r>
        <w:tab/>
        <w:t>Safety, health, and environmental regulations/legislation specific for the substance or mixture</w:t>
      </w:r>
    </w:p>
    <w:p w:rsidR="003F73A4" w:rsidRDefault="003F73A4" w:rsidP="007323BC">
      <w:pPr>
        <w:pStyle w:val="NoSpacing"/>
        <w:tabs>
          <w:tab w:val="left" w:pos="540"/>
        </w:tabs>
      </w:pPr>
    </w:p>
    <w:p w:rsidR="001D07F1" w:rsidRDefault="003F73A4" w:rsidP="00837C1C">
      <w:pPr>
        <w:pStyle w:val="NoSpacing"/>
        <w:tabs>
          <w:tab w:val="left" w:pos="540"/>
        </w:tabs>
        <w:spacing w:line="360" w:lineRule="auto"/>
      </w:pPr>
      <w:r>
        <w:tab/>
      </w:r>
      <w:r w:rsidR="001D07F1" w:rsidRPr="001D07F1">
        <w:rPr>
          <w:b/>
        </w:rPr>
        <w:t xml:space="preserve">TSCA </w:t>
      </w:r>
      <w:r w:rsidR="00837C1C">
        <w:rPr>
          <w:b/>
        </w:rPr>
        <w:tab/>
      </w:r>
      <w:r w:rsidR="00837C1C">
        <w:rPr>
          <w:b/>
        </w:rPr>
        <w:tab/>
      </w:r>
      <w:r w:rsidR="00837C1C">
        <w:rPr>
          <w:b/>
        </w:rPr>
        <w:tab/>
      </w:r>
      <w:r w:rsidR="001D07F1">
        <w:t>Health &amp; Safety Reporting List: N/A</w:t>
      </w:r>
    </w:p>
    <w:p w:rsidR="001D07F1" w:rsidRDefault="00837C1C" w:rsidP="001D07F1">
      <w:pPr>
        <w:pStyle w:val="NoSpacing"/>
        <w:tabs>
          <w:tab w:val="left" w:pos="540"/>
        </w:tabs>
        <w:spacing w:line="360" w:lineRule="auto"/>
        <w:ind w:left="540"/>
      </w:pPr>
      <w:r>
        <w:tab/>
      </w:r>
      <w:r>
        <w:tab/>
      </w:r>
      <w:r>
        <w:tab/>
      </w:r>
      <w:r>
        <w:tab/>
      </w:r>
      <w:r w:rsidR="001D07F1">
        <w:t>Chemical Test Rules: N/A</w:t>
      </w:r>
    </w:p>
    <w:p w:rsidR="001D07F1" w:rsidRDefault="00837C1C" w:rsidP="001D07F1">
      <w:pPr>
        <w:pStyle w:val="NoSpacing"/>
        <w:tabs>
          <w:tab w:val="left" w:pos="540"/>
        </w:tabs>
        <w:spacing w:line="360" w:lineRule="auto"/>
        <w:ind w:left="540"/>
      </w:pPr>
      <w:r>
        <w:tab/>
      </w:r>
      <w:r>
        <w:tab/>
      </w:r>
      <w:r>
        <w:tab/>
      </w:r>
      <w:r>
        <w:tab/>
      </w:r>
      <w:r w:rsidR="001D07F1">
        <w:t>Section 12b: N/A</w:t>
      </w:r>
    </w:p>
    <w:p w:rsidR="001D07F1" w:rsidRDefault="00837C1C" w:rsidP="001D07F1">
      <w:pPr>
        <w:pStyle w:val="NoSpacing"/>
        <w:tabs>
          <w:tab w:val="left" w:pos="540"/>
        </w:tabs>
        <w:spacing w:line="360" w:lineRule="auto"/>
        <w:ind w:left="540"/>
      </w:pPr>
      <w:r>
        <w:tab/>
      </w:r>
      <w:r>
        <w:tab/>
      </w:r>
      <w:r>
        <w:tab/>
      </w:r>
      <w:r>
        <w:tab/>
      </w:r>
      <w:r w:rsidR="001D07F1">
        <w:t>TSCA Significant New Use Rule: N/A</w:t>
      </w:r>
    </w:p>
    <w:p w:rsidR="001D07F1" w:rsidRPr="007B45F9"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1D07F1">
        <w:rPr>
          <w:b/>
        </w:rPr>
        <w:t xml:space="preserve">CERCLA </w:t>
      </w:r>
      <w:r w:rsidR="00837C1C">
        <w:rPr>
          <w:b/>
        </w:rPr>
        <w:tab/>
      </w:r>
      <w:r w:rsidR="00837C1C">
        <w:rPr>
          <w:b/>
        </w:rPr>
        <w:tab/>
      </w:r>
      <w:r w:rsidR="00837C1C">
        <w:rPr>
          <w:b/>
        </w:rPr>
        <w:tab/>
      </w:r>
      <w:r>
        <w:t>Hazardous Substances and corresponding RQs: N/A</w:t>
      </w:r>
    </w:p>
    <w:p w:rsidR="001D07F1" w:rsidRPr="007B45F9" w:rsidRDefault="001D07F1" w:rsidP="00BA047E">
      <w:pPr>
        <w:pStyle w:val="NoSpacing"/>
        <w:tabs>
          <w:tab w:val="left" w:pos="540"/>
        </w:tabs>
        <w:spacing w:line="360" w:lineRule="auto"/>
        <w:rPr>
          <w:sz w:val="12"/>
        </w:rPr>
      </w:pPr>
    </w:p>
    <w:p w:rsidR="001D07F1" w:rsidRDefault="001D07F1" w:rsidP="001D07F1">
      <w:pPr>
        <w:pStyle w:val="NoSpacing"/>
        <w:tabs>
          <w:tab w:val="left" w:pos="540"/>
        </w:tabs>
        <w:spacing w:line="360" w:lineRule="auto"/>
        <w:ind w:left="540"/>
      </w:pPr>
      <w:r w:rsidRPr="001D07F1">
        <w:rPr>
          <w:b/>
        </w:rPr>
        <w:t xml:space="preserve">SARA </w:t>
      </w:r>
      <w:r w:rsidR="00837C1C">
        <w:rPr>
          <w:b/>
        </w:rPr>
        <w:tab/>
      </w:r>
      <w:r w:rsidR="00837C1C">
        <w:rPr>
          <w:b/>
        </w:rPr>
        <w:tab/>
      </w:r>
      <w:r w:rsidR="00837C1C">
        <w:rPr>
          <w:b/>
        </w:rPr>
        <w:tab/>
      </w:r>
      <w:r>
        <w:t>Section 302 Extremely Hazardous Substances: N/A</w:t>
      </w:r>
    </w:p>
    <w:p w:rsidR="001D07F1" w:rsidRDefault="00837C1C" w:rsidP="001D07F1">
      <w:pPr>
        <w:pStyle w:val="NoSpacing"/>
        <w:tabs>
          <w:tab w:val="left" w:pos="540"/>
        </w:tabs>
        <w:spacing w:line="360" w:lineRule="auto"/>
        <w:ind w:left="540"/>
      </w:pPr>
      <w:r>
        <w:tab/>
      </w:r>
      <w:r>
        <w:tab/>
      </w:r>
      <w:r>
        <w:tab/>
      </w:r>
      <w:r>
        <w:tab/>
      </w:r>
      <w:r w:rsidR="001D07F1">
        <w:t>SARA Codes: N/A</w:t>
      </w:r>
    </w:p>
    <w:p w:rsidR="001D07F1" w:rsidRDefault="00837C1C" w:rsidP="001D07F1">
      <w:pPr>
        <w:pStyle w:val="NoSpacing"/>
        <w:tabs>
          <w:tab w:val="left" w:pos="540"/>
        </w:tabs>
        <w:spacing w:line="360" w:lineRule="auto"/>
        <w:ind w:left="540"/>
      </w:pPr>
      <w:r>
        <w:tab/>
      </w:r>
      <w:r>
        <w:tab/>
      </w:r>
      <w:r>
        <w:tab/>
      </w:r>
      <w:r>
        <w:tab/>
        <w:t>Se</w:t>
      </w:r>
      <w:r w:rsidR="001D07F1">
        <w:t>ction 313: N/A</w:t>
      </w:r>
    </w:p>
    <w:p w:rsidR="001D07F1" w:rsidRPr="007B45F9"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BA047E">
        <w:rPr>
          <w:b/>
        </w:rPr>
        <w:t>Clean Air Act:</w:t>
      </w:r>
      <w:r>
        <w:t xml:space="preserve"> </w:t>
      </w:r>
      <w:r w:rsidR="00837C1C">
        <w:tab/>
      </w:r>
      <w:r w:rsidR="00837C1C">
        <w:tab/>
      </w:r>
      <w:r>
        <w:t>N/A</w:t>
      </w:r>
    </w:p>
    <w:p w:rsidR="001D07F1" w:rsidRPr="007B45F9" w:rsidRDefault="001D07F1" w:rsidP="001D07F1">
      <w:pPr>
        <w:pStyle w:val="NoSpacing"/>
        <w:tabs>
          <w:tab w:val="left" w:pos="540"/>
        </w:tabs>
        <w:spacing w:line="360" w:lineRule="auto"/>
        <w:ind w:left="540"/>
        <w:rPr>
          <w:sz w:val="12"/>
        </w:rPr>
      </w:pPr>
      <w:r>
        <w:t xml:space="preserve"> </w:t>
      </w:r>
    </w:p>
    <w:p w:rsidR="001D07F1" w:rsidRDefault="001D07F1" w:rsidP="001D07F1">
      <w:pPr>
        <w:pStyle w:val="NoSpacing"/>
        <w:tabs>
          <w:tab w:val="left" w:pos="540"/>
        </w:tabs>
        <w:spacing w:line="360" w:lineRule="auto"/>
        <w:ind w:left="540"/>
      </w:pPr>
      <w:r w:rsidRPr="00BA047E">
        <w:rPr>
          <w:b/>
        </w:rPr>
        <w:t>Clean Water Act:</w:t>
      </w:r>
      <w:r>
        <w:t xml:space="preserve"> </w:t>
      </w:r>
      <w:r w:rsidR="00837C1C">
        <w:tab/>
      </w:r>
      <w:r w:rsidR="00837C1C">
        <w:tab/>
      </w:r>
      <w:r>
        <w:t>N/A</w:t>
      </w:r>
    </w:p>
    <w:p w:rsidR="001D07F1" w:rsidRPr="007B45F9" w:rsidRDefault="001D07F1" w:rsidP="00790940">
      <w:pPr>
        <w:pStyle w:val="NoSpacing"/>
        <w:tabs>
          <w:tab w:val="left" w:pos="540"/>
        </w:tabs>
        <w:spacing w:line="360" w:lineRule="auto"/>
        <w:ind w:left="540"/>
        <w:rPr>
          <w:sz w:val="12"/>
        </w:rPr>
      </w:pPr>
      <w:r w:rsidRPr="007B45F9">
        <w:rPr>
          <w:sz w:val="12"/>
        </w:rPr>
        <w:t xml:space="preserve">     </w:t>
      </w:r>
    </w:p>
    <w:p w:rsidR="00837C1C" w:rsidRDefault="001D07F1" w:rsidP="001D07F1">
      <w:pPr>
        <w:pStyle w:val="NoSpacing"/>
        <w:tabs>
          <w:tab w:val="left" w:pos="540"/>
        </w:tabs>
        <w:spacing w:line="360" w:lineRule="auto"/>
        <w:ind w:left="540"/>
      </w:pPr>
      <w:r w:rsidRPr="00BA047E">
        <w:rPr>
          <w:b/>
        </w:rPr>
        <w:t>U.S. State Regulations</w:t>
      </w:r>
      <w:r w:rsidR="00837C1C">
        <w:rPr>
          <w:b/>
        </w:rPr>
        <w:tab/>
      </w:r>
      <w:r>
        <w:t xml:space="preserve"> California Prop 65: N/A</w:t>
      </w:r>
      <w:r w:rsidR="00837C1C">
        <w:tab/>
      </w:r>
    </w:p>
    <w:p w:rsidR="002022B5" w:rsidRDefault="00837C1C" w:rsidP="001D07F1">
      <w:pPr>
        <w:pStyle w:val="NoSpacing"/>
        <w:tabs>
          <w:tab w:val="left" w:pos="540"/>
        </w:tabs>
        <w:spacing w:line="360" w:lineRule="auto"/>
        <w:ind w:left="540"/>
      </w:pPr>
      <w:r>
        <w:rPr>
          <w:b/>
        </w:rPr>
        <w:tab/>
      </w:r>
      <w:r>
        <w:rPr>
          <w:b/>
        </w:rPr>
        <w:tab/>
      </w:r>
      <w:r>
        <w:rPr>
          <w:b/>
        </w:rPr>
        <w:tab/>
      </w:r>
      <w:r>
        <w:rPr>
          <w:b/>
        </w:rPr>
        <w:tab/>
      </w:r>
      <w:r w:rsidR="002022B5" w:rsidRPr="002022B5">
        <w:t>Other States:</w:t>
      </w:r>
      <w:r w:rsidR="002022B5">
        <w:t xml:space="preserve">  N/A</w:t>
      </w:r>
    </w:p>
    <w:p w:rsidR="001D07F1" w:rsidRPr="007B45F9" w:rsidRDefault="001D07F1" w:rsidP="001D07F1">
      <w:pPr>
        <w:pStyle w:val="NoSpacing"/>
        <w:tabs>
          <w:tab w:val="left" w:pos="540"/>
        </w:tabs>
        <w:spacing w:line="360" w:lineRule="auto"/>
        <w:ind w:left="540"/>
        <w:rPr>
          <w:sz w:val="12"/>
        </w:rPr>
      </w:pPr>
    </w:p>
    <w:p w:rsidR="00837C1C" w:rsidRDefault="00837C1C" w:rsidP="001D07F1">
      <w:pPr>
        <w:pStyle w:val="NoSpacing"/>
        <w:tabs>
          <w:tab w:val="left" w:pos="540"/>
        </w:tabs>
        <w:spacing w:line="360" w:lineRule="auto"/>
        <w:ind w:left="540"/>
        <w:rPr>
          <w:b/>
        </w:rPr>
      </w:pPr>
    </w:p>
    <w:p w:rsidR="001D07F1" w:rsidRDefault="001D07F1" w:rsidP="001D07F1">
      <w:pPr>
        <w:pStyle w:val="NoSpacing"/>
        <w:tabs>
          <w:tab w:val="left" w:pos="540"/>
        </w:tabs>
        <w:spacing w:line="360" w:lineRule="auto"/>
        <w:ind w:left="540"/>
      </w:pPr>
      <w:r w:rsidRPr="001D07F1">
        <w:rPr>
          <w:b/>
        </w:rPr>
        <w:lastRenderedPageBreak/>
        <w:t>International Regulations</w:t>
      </w:r>
      <w:r w:rsidR="00837C1C">
        <w:rPr>
          <w:b/>
        </w:rPr>
        <w:tab/>
      </w:r>
      <w:r w:rsidR="00837C1C">
        <w:rPr>
          <w:b/>
        </w:rPr>
        <w:tab/>
      </w:r>
      <w:r>
        <w:t>European/International Regulations N/A</w:t>
      </w:r>
    </w:p>
    <w:p w:rsidR="001D07F1" w:rsidRPr="007B45F9"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1D07F1">
        <w:rPr>
          <w:b/>
        </w:rPr>
        <w:t>Canada</w:t>
      </w:r>
      <w:r w:rsidR="00837C1C">
        <w:rPr>
          <w:b/>
        </w:rPr>
        <w:tab/>
      </w:r>
      <w:r w:rsidR="00837C1C">
        <w:rPr>
          <w:b/>
        </w:rPr>
        <w:tab/>
      </w:r>
      <w:r w:rsidR="00837C1C">
        <w:rPr>
          <w:b/>
        </w:rPr>
        <w:tab/>
      </w:r>
      <w:r w:rsidR="00837C1C">
        <w:rPr>
          <w:b/>
        </w:rPr>
        <w:tab/>
      </w:r>
      <w:r>
        <w:t>DSL/NDSL: N/A</w:t>
      </w:r>
    </w:p>
    <w:p w:rsidR="008B0BD5" w:rsidRDefault="00837C1C" w:rsidP="001D07F1">
      <w:pPr>
        <w:pStyle w:val="NoSpacing"/>
        <w:tabs>
          <w:tab w:val="left" w:pos="540"/>
        </w:tabs>
        <w:spacing w:line="360" w:lineRule="auto"/>
        <w:ind w:left="540"/>
      </w:pPr>
      <w:r>
        <w:tab/>
      </w:r>
      <w:r>
        <w:tab/>
      </w:r>
      <w:r>
        <w:tab/>
      </w:r>
      <w:r>
        <w:tab/>
      </w:r>
      <w:r>
        <w:tab/>
      </w:r>
      <w:r w:rsidR="001D07F1">
        <w:t>WHMIS: N/A</w:t>
      </w:r>
    </w:p>
    <w:p w:rsidR="008B0BD5" w:rsidRDefault="008B0BD5" w:rsidP="007323BC">
      <w:pPr>
        <w:pStyle w:val="NoSpacing"/>
        <w:tabs>
          <w:tab w:val="left" w:pos="540"/>
        </w:tabs>
      </w:pPr>
    </w:p>
    <w:p w:rsidR="003F73A4" w:rsidRDefault="003F73A4" w:rsidP="00CD035A">
      <w:pPr>
        <w:pStyle w:val="NoSpacing"/>
        <w:tabs>
          <w:tab w:val="left" w:pos="540"/>
        </w:tabs>
        <w:spacing w:line="360" w:lineRule="auto"/>
      </w:pPr>
      <w:r>
        <w:t>15.2</w:t>
      </w:r>
      <w:r>
        <w:tab/>
        <w:t>Chemicals safety assessment</w:t>
      </w:r>
      <w:r w:rsidR="00837C1C">
        <w:tab/>
      </w:r>
      <w:r w:rsidR="008B0BD5">
        <w:t>No data available</w:t>
      </w:r>
    </w:p>
    <w:p w:rsidR="008B0BD5" w:rsidRDefault="008B0BD5" w:rsidP="007323BC">
      <w:pPr>
        <w:pStyle w:val="NoSpacing"/>
        <w:tabs>
          <w:tab w:val="left" w:pos="540"/>
        </w:tabs>
      </w:pPr>
    </w:p>
    <w:p w:rsidR="007B45F9" w:rsidRDefault="007B45F9" w:rsidP="00424C9E">
      <w:pPr>
        <w:pStyle w:val="Heading2"/>
        <w:pBdr>
          <w:bottom w:val="double" w:sz="6" w:space="1" w:color="auto"/>
        </w:pBdr>
      </w:pPr>
    </w:p>
    <w:p w:rsidR="00424C9E" w:rsidRDefault="00424C9E" w:rsidP="00424C9E">
      <w:pPr>
        <w:pStyle w:val="Heading2"/>
        <w:pBdr>
          <w:bottom w:val="double" w:sz="6" w:space="1" w:color="auto"/>
        </w:pBdr>
      </w:pPr>
      <w:r>
        <w:t>16. Other Information</w:t>
      </w:r>
    </w:p>
    <w:p w:rsidR="00C81455" w:rsidRDefault="00C81455" w:rsidP="00C81455">
      <w:pPr>
        <w:pStyle w:val="NoSpacing"/>
        <w:tabs>
          <w:tab w:val="left" w:pos="360"/>
        </w:tabs>
      </w:pPr>
    </w:p>
    <w:p w:rsidR="00C81455" w:rsidRPr="00EC668B" w:rsidRDefault="00C81455" w:rsidP="00587062">
      <w:pPr>
        <w:pStyle w:val="NoSpacing"/>
        <w:tabs>
          <w:tab w:val="left" w:pos="360"/>
        </w:tabs>
        <w:spacing w:line="360" w:lineRule="auto"/>
        <w:rPr>
          <w:rStyle w:val="Emphasis"/>
          <w:b/>
        </w:rPr>
      </w:pPr>
      <w:r w:rsidRPr="00EC668B">
        <w:rPr>
          <w:rStyle w:val="Emphasis"/>
          <w:b/>
        </w:rPr>
        <w:t xml:space="preserve">SDS Creation Date: </w:t>
      </w:r>
      <w:r w:rsidR="00B71D8F" w:rsidRPr="00EC668B">
        <w:rPr>
          <w:rStyle w:val="Emphasis"/>
          <w:b/>
        </w:rPr>
        <w:fldChar w:fldCharType="begin"/>
      </w:r>
      <w:r w:rsidRPr="00EC668B">
        <w:rPr>
          <w:rStyle w:val="Emphasis"/>
          <w:b/>
        </w:rPr>
        <w:instrText xml:space="preserve"> CREATEDATE  \@ "d MMMM yyyy"  \* MERGEFORMAT </w:instrText>
      </w:r>
      <w:r w:rsidR="00B71D8F" w:rsidRPr="00EC668B">
        <w:rPr>
          <w:rStyle w:val="Emphasis"/>
          <w:b/>
        </w:rPr>
        <w:fldChar w:fldCharType="separate"/>
      </w:r>
      <w:r w:rsidR="00C8279F" w:rsidRPr="00EC668B">
        <w:rPr>
          <w:rStyle w:val="Emphasis"/>
          <w:b/>
          <w:noProof/>
        </w:rPr>
        <w:t>29 May 2015</w:t>
      </w:r>
      <w:r w:rsidR="00B71D8F" w:rsidRPr="00EC668B">
        <w:rPr>
          <w:rStyle w:val="Emphasis"/>
          <w:b/>
        </w:rPr>
        <w:fldChar w:fldCharType="end"/>
      </w:r>
    </w:p>
    <w:p w:rsidR="007B45F9" w:rsidRDefault="007B45F9" w:rsidP="00C13249">
      <w:pPr>
        <w:pStyle w:val="NoSpacing"/>
        <w:tabs>
          <w:tab w:val="left" w:pos="360"/>
        </w:tabs>
      </w:pPr>
    </w:p>
    <w:p w:rsidR="007B45F9" w:rsidRDefault="007B45F9" w:rsidP="00C13249">
      <w:pPr>
        <w:pStyle w:val="NoSpacing"/>
        <w:tabs>
          <w:tab w:val="left" w:pos="360"/>
        </w:tabs>
      </w:pPr>
    </w:p>
    <w:p w:rsidR="00DB31E4" w:rsidRPr="00CD035A" w:rsidRDefault="00030733" w:rsidP="00C13249">
      <w:pPr>
        <w:pStyle w:val="NoSpacing"/>
        <w:tabs>
          <w:tab w:val="left" w:pos="360"/>
        </w:tabs>
        <w:rPr>
          <w:rStyle w:val="IntenseEmphasis"/>
        </w:rPr>
      </w:pPr>
      <w:r w:rsidRPr="00CD035A">
        <w:rPr>
          <w:rStyle w:val="IntenseEmphasis"/>
        </w:rPr>
        <w:t>Abbreviation key:</w:t>
      </w:r>
    </w:p>
    <w:p w:rsidR="00DB31E4" w:rsidRDefault="00DB31E4" w:rsidP="00C13249">
      <w:pPr>
        <w:pStyle w:val="NoSpacing"/>
        <w:tabs>
          <w:tab w:val="left" w:pos="360"/>
        </w:tabs>
      </w:pPr>
    </w:p>
    <w:tbl>
      <w:tblPr>
        <w:tblStyle w:val="TableGrid"/>
        <w:tblW w:w="0" w:type="auto"/>
        <w:tblLook w:val="04A0" w:firstRow="1" w:lastRow="0" w:firstColumn="1" w:lastColumn="0" w:noHBand="0" w:noVBand="1"/>
      </w:tblPr>
      <w:tblGrid>
        <w:gridCol w:w="2394"/>
        <w:gridCol w:w="2394"/>
        <w:gridCol w:w="2394"/>
        <w:gridCol w:w="2394"/>
      </w:tblGrid>
      <w:tr w:rsidR="00DB31E4" w:rsidRPr="001F35CA" w:rsidTr="00C94170">
        <w:trPr>
          <w:cantSplit/>
        </w:trPr>
        <w:tc>
          <w:tcPr>
            <w:tcW w:w="2394" w:type="dxa"/>
          </w:tcPr>
          <w:p w:rsidR="00DB31E4" w:rsidRPr="001F35CA" w:rsidRDefault="00DB31E4" w:rsidP="0087578F">
            <w:pPr>
              <w:pStyle w:val="NoSpacing"/>
              <w:tabs>
                <w:tab w:val="left" w:pos="360"/>
              </w:tabs>
              <w:jc w:val="center"/>
              <w:rPr>
                <w:sz w:val="20"/>
              </w:rPr>
            </w:pPr>
            <w:r w:rsidRPr="001F35CA">
              <w:rPr>
                <w:b/>
                <w:sz w:val="20"/>
              </w:rPr>
              <w:t>PEL</w:t>
            </w:r>
            <w:r w:rsidRPr="001F35CA">
              <w:rPr>
                <w:sz w:val="20"/>
              </w:rPr>
              <w:t xml:space="preserve"> – permissible exposure limit</w:t>
            </w:r>
          </w:p>
        </w:tc>
        <w:tc>
          <w:tcPr>
            <w:tcW w:w="2394" w:type="dxa"/>
          </w:tcPr>
          <w:p w:rsidR="00DB31E4" w:rsidRPr="001F35CA" w:rsidRDefault="0075431A" w:rsidP="0075431A">
            <w:pPr>
              <w:pStyle w:val="NoSpacing"/>
              <w:tabs>
                <w:tab w:val="left" w:pos="360"/>
              </w:tabs>
              <w:jc w:val="center"/>
              <w:rPr>
                <w:sz w:val="20"/>
              </w:rPr>
            </w:pPr>
            <w:r w:rsidRPr="001F35CA">
              <w:rPr>
                <w:b/>
                <w:sz w:val="20"/>
              </w:rPr>
              <w:t>TWA</w:t>
            </w:r>
            <w:r w:rsidRPr="001F35CA">
              <w:rPr>
                <w:sz w:val="20"/>
              </w:rPr>
              <w:t xml:space="preserve"> – time weighted average</w:t>
            </w:r>
          </w:p>
        </w:tc>
        <w:tc>
          <w:tcPr>
            <w:tcW w:w="2394" w:type="dxa"/>
          </w:tcPr>
          <w:p w:rsidR="00DB31E4" w:rsidRPr="001F35CA" w:rsidRDefault="00DB31E4" w:rsidP="0087578F">
            <w:pPr>
              <w:pStyle w:val="NoSpacing"/>
              <w:tabs>
                <w:tab w:val="left" w:pos="360"/>
              </w:tabs>
              <w:jc w:val="center"/>
              <w:rPr>
                <w:sz w:val="20"/>
              </w:rPr>
            </w:pPr>
            <w:r w:rsidRPr="001F35CA">
              <w:rPr>
                <w:b/>
                <w:sz w:val="20"/>
              </w:rPr>
              <w:t>TLV</w:t>
            </w:r>
            <w:r w:rsidRPr="001F35CA">
              <w:rPr>
                <w:sz w:val="20"/>
              </w:rPr>
              <w:t xml:space="preserve"> – threshold limit value</w:t>
            </w:r>
          </w:p>
        </w:tc>
        <w:tc>
          <w:tcPr>
            <w:tcW w:w="2394" w:type="dxa"/>
          </w:tcPr>
          <w:p w:rsidR="00DB31E4" w:rsidRPr="001F35CA" w:rsidRDefault="0087578F" w:rsidP="0087578F">
            <w:pPr>
              <w:pStyle w:val="NoSpacing"/>
              <w:tabs>
                <w:tab w:val="left" w:pos="360"/>
              </w:tabs>
              <w:ind w:left="360" w:hanging="360"/>
              <w:jc w:val="center"/>
              <w:rPr>
                <w:sz w:val="20"/>
              </w:rPr>
            </w:pPr>
            <w:r w:rsidRPr="001F35CA">
              <w:rPr>
                <w:b/>
                <w:sz w:val="20"/>
              </w:rPr>
              <w:t>STEL</w:t>
            </w:r>
            <w:r w:rsidRPr="001F35CA">
              <w:rPr>
                <w:sz w:val="20"/>
              </w:rPr>
              <w:t xml:space="preserve"> – short term exposure limit</w:t>
            </w:r>
          </w:p>
        </w:tc>
      </w:tr>
      <w:tr w:rsidR="00DB31E4" w:rsidRPr="001F35CA" w:rsidTr="00C94170">
        <w:trPr>
          <w:cantSplit/>
        </w:trPr>
        <w:tc>
          <w:tcPr>
            <w:tcW w:w="2394" w:type="dxa"/>
          </w:tcPr>
          <w:p w:rsidR="00DB31E4" w:rsidRPr="001F35CA" w:rsidRDefault="00DB31E4" w:rsidP="0087578F">
            <w:pPr>
              <w:pStyle w:val="NoSpacing"/>
              <w:tabs>
                <w:tab w:val="left" w:pos="360"/>
              </w:tabs>
              <w:jc w:val="center"/>
              <w:rPr>
                <w:sz w:val="20"/>
              </w:rPr>
            </w:pPr>
            <w:r w:rsidRPr="001F35CA">
              <w:rPr>
                <w:b/>
                <w:sz w:val="20"/>
              </w:rPr>
              <w:t>IDLH</w:t>
            </w:r>
            <w:r w:rsidRPr="001F35CA">
              <w:rPr>
                <w:sz w:val="20"/>
              </w:rPr>
              <w:t xml:space="preserve"> – immediately dangerous to life and health</w:t>
            </w:r>
          </w:p>
        </w:tc>
        <w:tc>
          <w:tcPr>
            <w:tcW w:w="2394" w:type="dxa"/>
          </w:tcPr>
          <w:p w:rsidR="00DB31E4" w:rsidRPr="001F35CA" w:rsidRDefault="00DB31E4" w:rsidP="0087578F">
            <w:pPr>
              <w:pStyle w:val="NoSpacing"/>
              <w:tabs>
                <w:tab w:val="left" w:pos="360"/>
              </w:tabs>
              <w:jc w:val="center"/>
              <w:rPr>
                <w:sz w:val="20"/>
              </w:rPr>
            </w:pPr>
            <w:r w:rsidRPr="001F35CA">
              <w:rPr>
                <w:b/>
                <w:sz w:val="20"/>
              </w:rPr>
              <w:t>OSHA</w:t>
            </w:r>
            <w:r w:rsidRPr="001F35CA">
              <w:rPr>
                <w:sz w:val="20"/>
              </w:rPr>
              <w:t xml:space="preserve"> – Occupational Safety and Health Administration</w:t>
            </w:r>
          </w:p>
        </w:tc>
        <w:tc>
          <w:tcPr>
            <w:tcW w:w="2394" w:type="dxa"/>
          </w:tcPr>
          <w:p w:rsidR="00DB31E4" w:rsidRPr="001F35CA" w:rsidRDefault="00DB31E4" w:rsidP="0087578F">
            <w:pPr>
              <w:pStyle w:val="NoSpacing"/>
              <w:tabs>
                <w:tab w:val="left" w:pos="360"/>
              </w:tabs>
              <w:jc w:val="center"/>
              <w:rPr>
                <w:sz w:val="20"/>
              </w:rPr>
            </w:pPr>
            <w:r w:rsidRPr="001F35CA">
              <w:rPr>
                <w:b/>
                <w:sz w:val="20"/>
              </w:rPr>
              <w:t>ACGIH</w:t>
            </w:r>
            <w:r w:rsidRPr="001F35CA">
              <w:rPr>
                <w:sz w:val="20"/>
              </w:rPr>
              <w:t xml:space="preserve"> </w:t>
            </w:r>
            <w:r w:rsidR="00754F20" w:rsidRPr="001F35CA">
              <w:rPr>
                <w:sz w:val="20"/>
              </w:rPr>
              <w:t>–</w:t>
            </w:r>
            <w:r w:rsidRPr="001F35CA">
              <w:rPr>
                <w:sz w:val="20"/>
              </w:rPr>
              <w:t xml:space="preserve"> </w:t>
            </w:r>
            <w:r w:rsidR="00754F20" w:rsidRPr="001F35CA">
              <w:rPr>
                <w:sz w:val="20"/>
              </w:rPr>
              <w:t>American Conference of Governmental Industrial Hygienists</w:t>
            </w:r>
          </w:p>
        </w:tc>
        <w:tc>
          <w:tcPr>
            <w:tcW w:w="2394" w:type="dxa"/>
          </w:tcPr>
          <w:p w:rsidR="00DB31E4" w:rsidRPr="001F35CA" w:rsidRDefault="00754F20" w:rsidP="0087578F">
            <w:pPr>
              <w:pStyle w:val="NoSpacing"/>
              <w:tabs>
                <w:tab w:val="left" w:pos="360"/>
              </w:tabs>
              <w:jc w:val="center"/>
              <w:rPr>
                <w:sz w:val="20"/>
              </w:rPr>
            </w:pPr>
            <w:r w:rsidRPr="001F35CA">
              <w:rPr>
                <w:b/>
                <w:sz w:val="20"/>
              </w:rPr>
              <w:t>NIOSH</w:t>
            </w:r>
            <w:r w:rsidRPr="001F35CA">
              <w:rPr>
                <w:sz w:val="20"/>
              </w:rPr>
              <w:t xml:space="preserve"> – National Institute for Occupational Safety and Health</w:t>
            </w:r>
          </w:p>
        </w:tc>
      </w:tr>
      <w:tr w:rsidR="00DB31E4" w:rsidRPr="001F35CA" w:rsidTr="00C94170">
        <w:trPr>
          <w:cantSplit/>
        </w:trPr>
        <w:tc>
          <w:tcPr>
            <w:tcW w:w="2394" w:type="dxa"/>
          </w:tcPr>
          <w:p w:rsidR="00DB31E4" w:rsidRPr="001F35CA" w:rsidRDefault="00754F20" w:rsidP="0087578F">
            <w:pPr>
              <w:pStyle w:val="NoSpacing"/>
              <w:tabs>
                <w:tab w:val="left" w:pos="360"/>
              </w:tabs>
              <w:jc w:val="center"/>
              <w:rPr>
                <w:sz w:val="20"/>
              </w:rPr>
            </w:pPr>
            <w:r w:rsidRPr="001F35CA">
              <w:rPr>
                <w:b/>
                <w:sz w:val="20"/>
              </w:rPr>
              <w:t>N/A</w:t>
            </w:r>
            <w:r w:rsidRPr="001F35CA">
              <w:rPr>
                <w:sz w:val="20"/>
              </w:rPr>
              <w:t xml:space="preserve"> – Not applicable</w:t>
            </w:r>
          </w:p>
        </w:tc>
        <w:tc>
          <w:tcPr>
            <w:tcW w:w="2394" w:type="dxa"/>
          </w:tcPr>
          <w:p w:rsidR="00DB31E4" w:rsidRPr="001F35CA" w:rsidRDefault="00754F20" w:rsidP="0087578F">
            <w:pPr>
              <w:pStyle w:val="NoSpacing"/>
              <w:tabs>
                <w:tab w:val="left" w:pos="360"/>
              </w:tabs>
              <w:jc w:val="center"/>
              <w:rPr>
                <w:sz w:val="20"/>
              </w:rPr>
            </w:pPr>
            <w:r w:rsidRPr="001F35CA">
              <w:rPr>
                <w:b/>
                <w:sz w:val="20"/>
              </w:rPr>
              <w:t>LC</w:t>
            </w:r>
            <w:r w:rsidRPr="001F35CA">
              <w:rPr>
                <w:b/>
                <w:sz w:val="20"/>
                <w:vertAlign w:val="subscript"/>
              </w:rPr>
              <w:t>50</w:t>
            </w:r>
            <w:r w:rsidRPr="001F35CA">
              <w:rPr>
                <w:sz w:val="20"/>
              </w:rPr>
              <w:t xml:space="preserve"> – lethal concentration to 50% of test subjects</w:t>
            </w:r>
          </w:p>
        </w:tc>
        <w:tc>
          <w:tcPr>
            <w:tcW w:w="2394" w:type="dxa"/>
          </w:tcPr>
          <w:p w:rsidR="00DB31E4" w:rsidRPr="001F35CA" w:rsidRDefault="00754F20" w:rsidP="0087578F">
            <w:pPr>
              <w:pStyle w:val="NoSpacing"/>
              <w:tabs>
                <w:tab w:val="left" w:pos="360"/>
              </w:tabs>
              <w:jc w:val="center"/>
              <w:rPr>
                <w:sz w:val="20"/>
              </w:rPr>
            </w:pPr>
            <w:r w:rsidRPr="001F35CA">
              <w:rPr>
                <w:b/>
                <w:sz w:val="20"/>
              </w:rPr>
              <w:t>LD</w:t>
            </w:r>
            <w:r w:rsidRPr="001F35CA">
              <w:rPr>
                <w:b/>
                <w:sz w:val="20"/>
                <w:vertAlign w:val="subscript"/>
              </w:rPr>
              <w:t>50</w:t>
            </w:r>
            <w:r w:rsidRPr="001F35CA">
              <w:rPr>
                <w:sz w:val="20"/>
              </w:rPr>
              <w:t xml:space="preserve"> – lethal dose to 50% of test subjects</w:t>
            </w:r>
          </w:p>
        </w:tc>
        <w:tc>
          <w:tcPr>
            <w:tcW w:w="2394" w:type="dxa"/>
          </w:tcPr>
          <w:p w:rsidR="00DB31E4" w:rsidRPr="001F35CA" w:rsidRDefault="00754F20" w:rsidP="0087578F">
            <w:pPr>
              <w:pStyle w:val="NoSpacing"/>
              <w:tabs>
                <w:tab w:val="left" w:pos="360"/>
              </w:tabs>
              <w:jc w:val="center"/>
              <w:rPr>
                <w:sz w:val="20"/>
              </w:rPr>
            </w:pPr>
            <w:r w:rsidRPr="001F35CA">
              <w:rPr>
                <w:b/>
                <w:sz w:val="20"/>
              </w:rPr>
              <w:t>STOT-SE</w:t>
            </w:r>
            <w:r w:rsidRPr="001F35CA">
              <w:rPr>
                <w:sz w:val="20"/>
              </w:rPr>
              <w:t xml:space="preserve"> – Specific target organ toxicity (single exposure)</w:t>
            </w:r>
          </w:p>
        </w:tc>
      </w:tr>
      <w:tr w:rsidR="00DB31E4" w:rsidRPr="001F35CA" w:rsidTr="00C94170">
        <w:trPr>
          <w:cantSplit/>
        </w:trPr>
        <w:tc>
          <w:tcPr>
            <w:tcW w:w="2394" w:type="dxa"/>
          </w:tcPr>
          <w:p w:rsidR="00DB31E4" w:rsidRPr="001F35CA" w:rsidRDefault="00754F20" w:rsidP="0087578F">
            <w:pPr>
              <w:pStyle w:val="NoSpacing"/>
              <w:tabs>
                <w:tab w:val="left" w:pos="360"/>
              </w:tabs>
              <w:jc w:val="center"/>
              <w:rPr>
                <w:sz w:val="20"/>
              </w:rPr>
            </w:pPr>
            <w:r w:rsidRPr="001F35CA">
              <w:rPr>
                <w:b/>
                <w:sz w:val="20"/>
              </w:rPr>
              <w:t>STOT-SE</w:t>
            </w:r>
            <w:r w:rsidRPr="001F35CA">
              <w:rPr>
                <w:sz w:val="20"/>
              </w:rPr>
              <w:t xml:space="preserve"> – Specific target organ toxicity (repeated exposure)</w:t>
            </w:r>
          </w:p>
        </w:tc>
        <w:tc>
          <w:tcPr>
            <w:tcW w:w="2394" w:type="dxa"/>
          </w:tcPr>
          <w:p w:rsidR="00DB31E4" w:rsidRPr="001F35CA" w:rsidRDefault="0087578F" w:rsidP="0087578F">
            <w:pPr>
              <w:pStyle w:val="NoSpacing"/>
              <w:tabs>
                <w:tab w:val="left" w:pos="360"/>
              </w:tabs>
              <w:jc w:val="center"/>
              <w:rPr>
                <w:sz w:val="20"/>
              </w:rPr>
            </w:pPr>
            <w:r w:rsidRPr="001F35CA">
              <w:rPr>
                <w:b/>
                <w:sz w:val="20"/>
              </w:rPr>
              <w:t>EC</w:t>
            </w:r>
            <w:r w:rsidRPr="001F35CA">
              <w:rPr>
                <w:b/>
                <w:sz w:val="20"/>
                <w:vertAlign w:val="subscript"/>
              </w:rPr>
              <w:t>50</w:t>
            </w:r>
            <w:r w:rsidRPr="001F35CA">
              <w:rPr>
                <w:sz w:val="20"/>
              </w:rPr>
              <w:t xml:space="preserve"> – effective concentration that causes 50% of response from test subjects</w:t>
            </w:r>
          </w:p>
        </w:tc>
        <w:tc>
          <w:tcPr>
            <w:tcW w:w="2394" w:type="dxa"/>
          </w:tcPr>
          <w:p w:rsidR="00DB31E4" w:rsidRPr="001F35CA" w:rsidRDefault="0087578F" w:rsidP="0087578F">
            <w:pPr>
              <w:pStyle w:val="NoSpacing"/>
              <w:tabs>
                <w:tab w:val="left" w:pos="360"/>
              </w:tabs>
              <w:jc w:val="center"/>
              <w:rPr>
                <w:sz w:val="20"/>
              </w:rPr>
            </w:pPr>
            <w:r w:rsidRPr="001F35CA">
              <w:rPr>
                <w:b/>
                <w:sz w:val="20"/>
              </w:rPr>
              <w:t>ErC</w:t>
            </w:r>
            <w:r w:rsidRPr="001F35CA">
              <w:rPr>
                <w:b/>
                <w:sz w:val="20"/>
                <w:vertAlign w:val="subscript"/>
              </w:rPr>
              <w:t>50</w:t>
            </w:r>
            <w:r w:rsidRPr="001F35CA">
              <w:rPr>
                <w:sz w:val="20"/>
                <w:vertAlign w:val="subscript"/>
              </w:rPr>
              <w:t xml:space="preserve"> </w:t>
            </w:r>
            <w:r w:rsidRPr="001F35CA">
              <w:rPr>
                <w:sz w:val="20"/>
              </w:rPr>
              <w:t>– EC</w:t>
            </w:r>
            <w:r w:rsidRPr="001F35CA">
              <w:rPr>
                <w:sz w:val="20"/>
                <w:vertAlign w:val="subscript"/>
              </w:rPr>
              <w:t>50</w:t>
            </w:r>
            <w:r w:rsidRPr="001F35CA">
              <w:rPr>
                <w:sz w:val="20"/>
              </w:rPr>
              <w:t xml:space="preserve"> in terms of growth rate reduction</w:t>
            </w:r>
          </w:p>
        </w:tc>
        <w:tc>
          <w:tcPr>
            <w:tcW w:w="2394" w:type="dxa"/>
          </w:tcPr>
          <w:p w:rsidR="00DB31E4" w:rsidRPr="001F35CA" w:rsidRDefault="0087578F" w:rsidP="0087578F">
            <w:pPr>
              <w:pStyle w:val="NoSpacing"/>
              <w:tabs>
                <w:tab w:val="left" w:pos="360"/>
              </w:tabs>
              <w:jc w:val="center"/>
              <w:rPr>
                <w:sz w:val="20"/>
              </w:rPr>
            </w:pPr>
            <w:r w:rsidRPr="001F35CA">
              <w:rPr>
                <w:b/>
                <w:sz w:val="20"/>
              </w:rPr>
              <w:t>CERCLA</w:t>
            </w:r>
            <w:r w:rsidRPr="001F35CA">
              <w:rPr>
                <w:sz w:val="20"/>
              </w:rPr>
              <w:t xml:space="preserve"> – Comprehensive Environmental Response, Compensation, and Liability Act</w:t>
            </w:r>
          </w:p>
        </w:tc>
      </w:tr>
      <w:tr w:rsidR="00DB31E4" w:rsidRPr="001F35CA" w:rsidTr="00C94170">
        <w:trPr>
          <w:cantSplit/>
        </w:trPr>
        <w:tc>
          <w:tcPr>
            <w:tcW w:w="2394" w:type="dxa"/>
          </w:tcPr>
          <w:p w:rsidR="00DB31E4" w:rsidRPr="001F35CA" w:rsidRDefault="0087578F" w:rsidP="0087578F">
            <w:pPr>
              <w:pStyle w:val="NoSpacing"/>
              <w:tabs>
                <w:tab w:val="left" w:pos="360"/>
              </w:tabs>
              <w:jc w:val="center"/>
              <w:rPr>
                <w:sz w:val="20"/>
              </w:rPr>
            </w:pPr>
            <w:r w:rsidRPr="001F35CA">
              <w:rPr>
                <w:b/>
                <w:sz w:val="20"/>
              </w:rPr>
              <w:t>SARA</w:t>
            </w:r>
            <w:r w:rsidRPr="001F35CA">
              <w:rPr>
                <w:sz w:val="20"/>
              </w:rPr>
              <w:t xml:space="preserve"> – Superfund Amendments and Reauthorization Act</w:t>
            </w:r>
          </w:p>
        </w:tc>
        <w:tc>
          <w:tcPr>
            <w:tcW w:w="2394" w:type="dxa"/>
          </w:tcPr>
          <w:p w:rsidR="00DB31E4" w:rsidRPr="001F35CA" w:rsidRDefault="0087578F" w:rsidP="0087578F">
            <w:pPr>
              <w:pStyle w:val="NoSpacing"/>
              <w:tabs>
                <w:tab w:val="left" w:pos="360"/>
              </w:tabs>
              <w:jc w:val="center"/>
              <w:rPr>
                <w:sz w:val="20"/>
              </w:rPr>
            </w:pPr>
            <w:r w:rsidRPr="001F35CA">
              <w:rPr>
                <w:b/>
                <w:sz w:val="20"/>
              </w:rPr>
              <w:t>TSCA</w:t>
            </w:r>
            <w:r w:rsidRPr="001F35CA">
              <w:rPr>
                <w:sz w:val="20"/>
              </w:rPr>
              <w:t xml:space="preserve"> – Toxic Substances Control Act</w:t>
            </w:r>
          </w:p>
        </w:tc>
        <w:tc>
          <w:tcPr>
            <w:tcW w:w="2394" w:type="dxa"/>
          </w:tcPr>
          <w:p w:rsidR="00DB31E4" w:rsidRPr="001F35CA" w:rsidRDefault="00BA047E" w:rsidP="0087578F">
            <w:pPr>
              <w:pStyle w:val="NoSpacing"/>
              <w:tabs>
                <w:tab w:val="left" w:pos="360"/>
              </w:tabs>
              <w:jc w:val="center"/>
              <w:rPr>
                <w:sz w:val="20"/>
              </w:rPr>
            </w:pPr>
            <w:r>
              <w:rPr>
                <w:b/>
                <w:sz w:val="20"/>
              </w:rPr>
              <w:t>(N)</w:t>
            </w:r>
            <w:r w:rsidR="0087578F" w:rsidRPr="001F35CA">
              <w:rPr>
                <w:b/>
                <w:sz w:val="20"/>
              </w:rPr>
              <w:t>DSL</w:t>
            </w:r>
            <w:r w:rsidR="0087578F" w:rsidRPr="001F35CA">
              <w:rPr>
                <w:sz w:val="20"/>
              </w:rPr>
              <w:t xml:space="preserve"> –</w:t>
            </w:r>
            <w:r>
              <w:rPr>
                <w:sz w:val="20"/>
              </w:rPr>
              <w:t>(Non-)</w:t>
            </w:r>
            <w:r w:rsidR="0087578F" w:rsidRPr="001F35CA">
              <w:rPr>
                <w:sz w:val="20"/>
              </w:rPr>
              <w:t xml:space="preserve"> Domestic Substances List</w:t>
            </w:r>
          </w:p>
        </w:tc>
        <w:tc>
          <w:tcPr>
            <w:tcW w:w="2394" w:type="dxa"/>
          </w:tcPr>
          <w:p w:rsidR="00DB31E4" w:rsidRPr="001F35CA" w:rsidRDefault="00BA047E" w:rsidP="0087578F">
            <w:pPr>
              <w:pStyle w:val="NoSpacing"/>
              <w:tabs>
                <w:tab w:val="left" w:pos="360"/>
              </w:tabs>
              <w:jc w:val="center"/>
              <w:rPr>
                <w:sz w:val="20"/>
              </w:rPr>
            </w:pPr>
            <w:r>
              <w:rPr>
                <w:b/>
                <w:sz w:val="20"/>
              </w:rPr>
              <w:t xml:space="preserve">WHMIS - </w:t>
            </w:r>
            <w:r w:rsidRPr="00BA047E">
              <w:rPr>
                <w:sz w:val="20"/>
              </w:rPr>
              <w:t>Workplace Hazardous Materials Information System</w:t>
            </w:r>
          </w:p>
        </w:tc>
      </w:tr>
    </w:tbl>
    <w:p w:rsidR="00DB31E4" w:rsidRDefault="00DB31E4" w:rsidP="00CD035A">
      <w:pPr>
        <w:pStyle w:val="NoSpacing"/>
        <w:tabs>
          <w:tab w:val="left" w:pos="360"/>
        </w:tabs>
      </w:pPr>
    </w:p>
    <w:p w:rsidR="007B45F9" w:rsidRDefault="007B45F9" w:rsidP="00CD035A">
      <w:pPr>
        <w:pStyle w:val="NoSpacing"/>
        <w:tabs>
          <w:tab w:val="left" w:pos="360"/>
        </w:tabs>
      </w:pPr>
    </w:p>
    <w:p w:rsidR="007B45F9" w:rsidRDefault="007B45F9" w:rsidP="00CD035A">
      <w:pPr>
        <w:pStyle w:val="NoSpacing"/>
        <w:tabs>
          <w:tab w:val="left" w:pos="360"/>
        </w:tabs>
      </w:pPr>
    </w:p>
    <w:p w:rsidR="00C8279F" w:rsidRDefault="00C8279F" w:rsidP="00C8279F">
      <w:pPr>
        <w:pStyle w:val="NoSpacing"/>
        <w:tabs>
          <w:tab w:val="left" w:pos="360"/>
        </w:tabs>
        <w:jc w:val="both"/>
      </w:pPr>
      <w:r w:rsidRPr="00C8279F">
        <w:t xml:space="preserve">Note: </w:t>
      </w:r>
      <w:r w:rsidR="005A711D">
        <w:t>This safety data sheet is intended to provide a brief summary of our knowledge and guidance regarding the use of this material.  It is not meant to be an all-inclusive document on worldwide hazard communication regulation.  This information is believed to be accurate as of the date issued.   Each user of this material needs to evaluate the conditions of use and design the appropriate protective mechanisms to prevent exposures, property damage, or release to the environment.  No warranty is expressed or implied with respect to the information herein supplied, and no responsibility for injury to the recipient or third persons, or for any damage to any property is assumed.</w:t>
      </w:r>
    </w:p>
    <w:p w:rsidR="00DB13C5" w:rsidRPr="002B2D7D" w:rsidRDefault="00DB13C5" w:rsidP="00C8279F">
      <w:pPr>
        <w:pStyle w:val="NoSpacing"/>
        <w:tabs>
          <w:tab w:val="left" w:pos="360"/>
        </w:tabs>
        <w:jc w:val="both"/>
      </w:pPr>
    </w:p>
    <w:sectPr w:rsidR="00DB13C5" w:rsidRPr="002B2D7D" w:rsidSect="00185511">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A6" w:rsidRDefault="000950A6" w:rsidP="00B52217">
      <w:pPr>
        <w:spacing w:after="0" w:line="240" w:lineRule="auto"/>
      </w:pPr>
      <w:r>
        <w:separator/>
      </w:r>
    </w:p>
  </w:endnote>
  <w:endnote w:type="continuationSeparator" w:id="0">
    <w:p w:rsidR="000950A6" w:rsidRDefault="000950A6" w:rsidP="00B5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6" w:rsidRPr="0060021F" w:rsidRDefault="000950A6" w:rsidP="007A5397">
    <w:pPr>
      <w:pStyle w:val="Footer"/>
    </w:pPr>
    <w:r w:rsidRPr="007A5397">
      <w:rPr>
        <w:noProof/>
        <w:spacing w:val="-2"/>
        <w:sz w:val="16"/>
      </w:rPr>
      <w:t>WHD/11549244.1</w:t>
    </w:r>
    <w:r>
      <w:t xml:space="preserve"> </w:t>
    </w:r>
    <w:r w:rsidRPr="006C5FF9">
      <w:t xml:space="preserve">Last Revision Date: </w:t>
    </w:r>
    <w:r w:rsidR="00EB0586">
      <w:fldChar w:fldCharType="begin"/>
    </w:r>
    <w:r w:rsidR="00EB0586">
      <w:instrText xml:space="preserve"> SAVEDATE  \@ "d MMMM yyyy"  \* MERGEFORMAT </w:instrText>
    </w:r>
    <w:r w:rsidR="00EB0586">
      <w:fldChar w:fldCharType="separate"/>
    </w:r>
    <w:r w:rsidR="00EB0586">
      <w:rPr>
        <w:noProof/>
      </w:rPr>
      <w:t>16 July 2015</w:t>
    </w:r>
    <w:r w:rsidR="00EB0586">
      <w:rPr>
        <w:noProof/>
      </w:rPr>
      <w:fldChar w:fldCharType="end"/>
    </w:r>
    <w:r>
      <w:ptab w:relativeTo="margin" w:alignment="center" w:leader="none"/>
    </w:r>
    <w:r>
      <w:ptab w:relativeTo="margin" w:alignment="right" w:leader="none"/>
    </w:r>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B05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586">
          <w:rPr>
            <w:b/>
            <w:bCs/>
            <w:noProof/>
          </w:rPr>
          <w:t>10</w:t>
        </w:r>
        <w:r>
          <w:rPr>
            <w:b/>
            <w:bCs/>
            <w:sz w:val="24"/>
            <w:szCs w:val="24"/>
          </w:rPr>
          <w:fldChar w:fldCharType="end"/>
        </w:r>
      </w:sdtContent>
    </w:sdt>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A6" w:rsidRDefault="000950A6" w:rsidP="00B52217">
      <w:pPr>
        <w:spacing w:after="0" w:line="240" w:lineRule="auto"/>
      </w:pPr>
      <w:r>
        <w:separator/>
      </w:r>
    </w:p>
  </w:footnote>
  <w:footnote w:type="continuationSeparator" w:id="0">
    <w:p w:rsidR="000950A6" w:rsidRDefault="000950A6" w:rsidP="00B522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A6" w:rsidRPr="00F27D8C" w:rsidRDefault="00EB0586">
    <w:pPr>
      <w:pStyle w:val="Header"/>
      <w:rPr>
        <w:color w:val="365F91" w:themeColor="accent1" w:themeShade="BF"/>
        <w:sz w:val="24"/>
      </w:rPr>
    </w:pPr>
    <w:sdt>
      <w:sdtPr>
        <w:rPr>
          <w:color w:val="365F91" w:themeColor="accent1" w:themeShade="BF"/>
          <w:sz w:val="24"/>
        </w:rPr>
        <w:alias w:val="Company"/>
        <w:tag w:val=""/>
        <w:id w:val="-344097500"/>
        <w:placeholder>
          <w:docPart w:val="9D88254122974A8FB7C8844E9FC0EEC4"/>
        </w:placeholder>
        <w:dataBinding w:prefixMappings="xmlns:ns0='http://schemas.openxmlformats.org/officeDocument/2006/extended-properties' " w:xpath="/ns0:Properties[1]/ns0:Company[1]" w:storeItemID="{6668398D-A668-4E3E-A5EB-62B293D839F1}"/>
        <w:text/>
      </w:sdtPr>
      <w:sdtEndPr/>
      <w:sdtContent>
        <w:r w:rsidR="000950A6">
          <w:rPr>
            <w:color w:val="365F91" w:themeColor="accent1" w:themeShade="BF"/>
            <w:sz w:val="24"/>
          </w:rPr>
          <w:t>Company Name</w:t>
        </w:r>
      </w:sdtContent>
    </w:sdt>
    <w:r w:rsidR="000950A6" w:rsidRPr="00F27D8C">
      <w:rPr>
        <w:color w:val="365F91" w:themeColor="accent1" w:themeShade="BF"/>
        <w:sz w:val="24"/>
      </w:rPr>
      <w:ptab w:relativeTo="margin" w:alignment="center" w:leader="none"/>
    </w:r>
    <w:r w:rsidR="000950A6" w:rsidRPr="00F27D8C">
      <w:rPr>
        <w:color w:val="365F91" w:themeColor="accent1" w:themeShade="BF"/>
        <w:sz w:val="24"/>
      </w:rPr>
      <w:ptab w:relativeTo="margin" w:alignment="right" w:leader="none"/>
    </w:r>
    <w:r w:rsidR="000950A6" w:rsidRPr="00F27D8C">
      <w:rPr>
        <w:color w:val="365F91" w:themeColor="accent1" w:themeShade="BF"/>
        <w:sz w:val="24"/>
      </w:rPr>
      <w:t xml:space="preserve">Last Revision Date: </w:t>
    </w:r>
    <w:r w:rsidR="000950A6" w:rsidRPr="00F27D8C">
      <w:rPr>
        <w:color w:val="365F91" w:themeColor="accent1" w:themeShade="BF"/>
        <w:sz w:val="24"/>
      </w:rPr>
      <w:fldChar w:fldCharType="begin"/>
    </w:r>
    <w:r w:rsidR="000950A6" w:rsidRPr="00F27D8C">
      <w:rPr>
        <w:color w:val="365F91" w:themeColor="accent1" w:themeShade="BF"/>
        <w:sz w:val="24"/>
      </w:rPr>
      <w:instrText xml:space="preserve"> SAVEDATE  \@ "d MMMM yyyy"  \* MERGEFORMAT </w:instrText>
    </w:r>
    <w:r w:rsidR="000950A6" w:rsidRPr="00F27D8C">
      <w:rPr>
        <w:color w:val="365F91" w:themeColor="accent1" w:themeShade="BF"/>
        <w:sz w:val="24"/>
      </w:rPr>
      <w:fldChar w:fldCharType="separate"/>
    </w:r>
    <w:r>
      <w:rPr>
        <w:noProof/>
        <w:color w:val="365F91" w:themeColor="accent1" w:themeShade="BF"/>
        <w:sz w:val="24"/>
      </w:rPr>
      <w:t>16 July 2015</w:t>
    </w:r>
    <w:r w:rsidR="000950A6" w:rsidRPr="00F27D8C">
      <w:rPr>
        <w:color w:val="365F91" w:themeColor="accent1" w:themeShade="BF"/>
        <w:sz w:val="24"/>
      </w:rPr>
      <w:fldChar w:fldCharType="end"/>
    </w:r>
  </w:p>
  <w:p w:rsidR="000950A6" w:rsidRPr="00F27D8C" w:rsidRDefault="000950A6">
    <w:pPr>
      <w:pStyle w:val="Header"/>
      <w:rPr>
        <w:color w:val="365F91" w:themeColor="accent1" w:themeShade="BF"/>
        <w:sz w:val="24"/>
      </w:rPr>
    </w:pPr>
    <w:r>
      <w:rPr>
        <w:color w:val="365F91" w:themeColor="accent1" w:themeShade="BF"/>
        <w:sz w:val="24"/>
      </w:rPr>
      <w:t>Product Name</w:t>
    </w:r>
    <w:r>
      <w:rPr>
        <w:color w:val="365F91" w:themeColor="accent1" w:themeShade="BF"/>
        <w:sz w:val="24"/>
      </w:rPr>
      <w:tab/>
    </w:r>
    <w:r>
      <w:rPr>
        <w:color w:val="365F91" w:themeColor="accent1" w:themeShade="BF"/>
        <w:sz w:val="24"/>
      </w:rPr>
      <w:tab/>
      <w:t>Safety Data Sheet (SDS)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120"/>
    <w:multiLevelType w:val="hybridMultilevel"/>
    <w:tmpl w:val="80FA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54752"/>
    <w:multiLevelType w:val="multilevel"/>
    <w:tmpl w:val="5C905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B3C258C"/>
    <w:multiLevelType w:val="multilevel"/>
    <w:tmpl w:val="83B4F766"/>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8210DF"/>
    <w:rsid w:val="0000199E"/>
    <w:rsid w:val="0000558B"/>
    <w:rsid w:val="000134E6"/>
    <w:rsid w:val="00016384"/>
    <w:rsid w:val="00030733"/>
    <w:rsid w:val="00041D4B"/>
    <w:rsid w:val="00056A52"/>
    <w:rsid w:val="000950A6"/>
    <w:rsid w:val="000E5051"/>
    <w:rsid w:val="00101CF6"/>
    <w:rsid w:val="00155765"/>
    <w:rsid w:val="00185511"/>
    <w:rsid w:val="00186C5D"/>
    <w:rsid w:val="001C761B"/>
    <w:rsid w:val="001D07F1"/>
    <w:rsid w:val="001D5E58"/>
    <w:rsid w:val="001F35CA"/>
    <w:rsid w:val="002022B5"/>
    <w:rsid w:val="002139AB"/>
    <w:rsid w:val="00270B1A"/>
    <w:rsid w:val="002A79C0"/>
    <w:rsid w:val="002B2D7D"/>
    <w:rsid w:val="002F0675"/>
    <w:rsid w:val="0030694B"/>
    <w:rsid w:val="00306E5C"/>
    <w:rsid w:val="00321723"/>
    <w:rsid w:val="00334331"/>
    <w:rsid w:val="00336C43"/>
    <w:rsid w:val="00353E4E"/>
    <w:rsid w:val="00360076"/>
    <w:rsid w:val="003C0040"/>
    <w:rsid w:val="003F19BD"/>
    <w:rsid w:val="003F57D3"/>
    <w:rsid w:val="003F73A4"/>
    <w:rsid w:val="00424C9E"/>
    <w:rsid w:val="004306CE"/>
    <w:rsid w:val="00452E1B"/>
    <w:rsid w:val="00457881"/>
    <w:rsid w:val="004822A3"/>
    <w:rsid w:val="004902F0"/>
    <w:rsid w:val="004B4B1A"/>
    <w:rsid w:val="00545FF4"/>
    <w:rsid w:val="00586569"/>
    <w:rsid w:val="00587062"/>
    <w:rsid w:val="005A23F6"/>
    <w:rsid w:val="005A711D"/>
    <w:rsid w:val="005E3859"/>
    <w:rsid w:val="005F3CAA"/>
    <w:rsid w:val="005F4CD0"/>
    <w:rsid w:val="0060021F"/>
    <w:rsid w:val="00606695"/>
    <w:rsid w:val="00667F21"/>
    <w:rsid w:val="006A0931"/>
    <w:rsid w:val="006C5FF9"/>
    <w:rsid w:val="006D57AD"/>
    <w:rsid w:val="00705711"/>
    <w:rsid w:val="00710923"/>
    <w:rsid w:val="007119FA"/>
    <w:rsid w:val="007323BC"/>
    <w:rsid w:val="00745E03"/>
    <w:rsid w:val="007537D5"/>
    <w:rsid w:val="0075431A"/>
    <w:rsid w:val="00754F20"/>
    <w:rsid w:val="0077427E"/>
    <w:rsid w:val="00790940"/>
    <w:rsid w:val="0079146A"/>
    <w:rsid w:val="007A5397"/>
    <w:rsid w:val="007B16A7"/>
    <w:rsid w:val="007B45F9"/>
    <w:rsid w:val="007D0001"/>
    <w:rsid w:val="007E074B"/>
    <w:rsid w:val="007F0938"/>
    <w:rsid w:val="007F4042"/>
    <w:rsid w:val="008210DF"/>
    <w:rsid w:val="00837C1C"/>
    <w:rsid w:val="008530D8"/>
    <w:rsid w:val="008709B1"/>
    <w:rsid w:val="00875543"/>
    <w:rsid w:val="0087578F"/>
    <w:rsid w:val="00894C42"/>
    <w:rsid w:val="008B0BD5"/>
    <w:rsid w:val="008B195F"/>
    <w:rsid w:val="008F2A24"/>
    <w:rsid w:val="009076A4"/>
    <w:rsid w:val="00907DE9"/>
    <w:rsid w:val="009201A2"/>
    <w:rsid w:val="0094533A"/>
    <w:rsid w:val="00953A54"/>
    <w:rsid w:val="00983330"/>
    <w:rsid w:val="009D12F1"/>
    <w:rsid w:val="009E3834"/>
    <w:rsid w:val="00A463BB"/>
    <w:rsid w:val="00A600A6"/>
    <w:rsid w:val="00A7285C"/>
    <w:rsid w:val="00A866DE"/>
    <w:rsid w:val="00A94F8D"/>
    <w:rsid w:val="00AA5277"/>
    <w:rsid w:val="00AC69D5"/>
    <w:rsid w:val="00AD2684"/>
    <w:rsid w:val="00AD50AC"/>
    <w:rsid w:val="00AF78E8"/>
    <w:rsid w:val="00B21856"/>
    <w:rsid w:val="00B457EC"/>
    <w:rsid w:val="00B45BCD"/>
    <w:rsid w:val="00B52217"/>
    <w:rsid w:val="00B71D8F"/>
    <w:rsid w:val="00BA047E"/>
    <w:rsid w:val="00BB22AD"/>
    <w:rsid w:val="00BC5A80"/>
    <w:rsid w:val="00BF28D9"/>
    <w:rsid w:val="00C13249"/>
    <w:rsid w:val="00C45B27"/>
    <w:rsid w:val="00C81455"/>
    <w:rsid w:val="00C8279F"/>
    <w:rsid w:val="00C94170"/>
    <w:rsid w:val="00CB0466"/>
    <w:rsid w:val="00CB2C93"/>
    <w:rsid w:val="00CD035A"/>
    <w:rsid w:val="00CD5286"/>
    <w:rsid w:val="00CF5A0B"/>
    <w:rsid w:val="00D261CA"/>
    <w:rsid w:val="00D504FE"/>
    <w:rsid w:val="00D64BFB"/>
    <w:rsid w:val="00D7558A"/>
    <w:rsid w:val="00DB13C5"/>
    <w:rsid w:val="00DB31E4"/>
    <w:rsid w:val="00DD5210"/>
    <w:rsid w:val="00E02CF5"/>
    <w:rsid w:val="00E04356"/>
    <w:rsid w:val="00E168E6"/>
    <w:rsid w:val="00E758C7"/>
    <w:rsid w:val="00E8584B"/>
    <w:rsid w:val="00E86014"/>
    <w:rsid w:val="00E917DF"/>
    <w:rsid w:val="00EB0586"/>
    <w:rsid w:val="00EC668B"/>
    <w:rsid w:val="00EE50A3"/>
    <w:rsid w:val="00F07C35"/>
    <w:rsid w:val="00F22A3C"/>
    <w:rsid w:val="00F27D8C"/>
    <w:rsid w:val="00F702DF"/>
    <w:rsid w:val="00F71CCC"/>
    <w:rsid w:val="00FB331F"/>
    <w:rsid w:val="00FE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17"/>
  </w:style>
  <w:style w:type="paragraph" w:styleId="Footer">
    <w:name w:val="footer"/>
    <w:basedOn w:val="Normal"/>
    <w:link w:val="FooterChar"/>
    <w:uiPriority w:val="99"/>
    <w:unhideWhenUsed/>
    <w:rsid w:val="00B5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17"/>
  </w:style>
  <w:style w:type="paragraph" w:styleId="BalloonText">
    <w:name w:val="Balloon Text"/>
    <w:basedOn w:val="Normal"/>
    <w:link w:val="BalloonTextChar"/>
    <w:uiPriority w:val="99"/>
    <w:semiHidden/>
    <w:unhideWhenUsed/>
    <w:rsid w:val="00B5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17"/>
    <w:rPr>
      <w:rFonts w:ascii="Tahoma" w:hAnsi="Tahoma" w:cs="Tahoma"/>
      <w:sz w:val="16"/>
      <w:szCs w:val="16"/>
    </w:rPr>
  </w:style>
  <w:style w:type="character" w:styleId="PlaceholderText">
    <w:name w:val="Placeholder Text"/>
    <w:basedOn w:val="DefaultParagraphFont"/>
    <w:uiPriority w:val="99"/>
    <w:semiHidden/>
    <w:rsid w:val="00B52217"/>
    <w:rPr>
      <w:color w:val="808080"/>
    </w:rPr>
  </w:style>
  <w:style w:type="paragraph" w:styleId="NoSpacing">
    <w:name w:val="No Spacing"/>
    <w:uiPriority w:val="1"/>
    <w:qFormat/>
    <w:rsid w:val="002B2D7D"/>
    <w:pPr>
      <w:spacing w:after="0" w:line="240" w:lineRule="auto"/>
    </w:pPr>
  </w:style>
  <w:style w:type="paragraph" w:styleId="ListParagraph">
    <w:name w:val="List Paragraph"/>
    <w:basedOn w:val="Normal"/>
    <w:uiPriority w:val="34"/>
    <w:qFormat/>
    <w:rsid w:val="00A866DE"/>
    <w:pPr>
      <w:ind w:left="720"/>
      <w:contextualSpacing/>
    </w:pPr>
  </w:style>
  <w:style w:type="character" w:customStyle="1" w:styleId="Heading2Char">
    <w:name w:val="Heading 2 Char"/>
    <w:basedOn w:val="DefaultParagraphFont"/>
    <w:link w:val="Heading2"/>
    <w:uiPriority w:val="9"/>
    <w:rsid w:val="006066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6695"/>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0E5051"/>
    <w:rPr>
      <w:i/>
      <w:iCs/>
      <w:color w:val="808080" w:themeColor="text1" w:themeTint="7F"/>
    </w:rPr>
  </w:style>
  <w:style w:type="table" w:styleId="TableGrid">
    <w:name w:val="Table Grid"/>
    <w:basedOn w:val="TableNormal"/>
    <w:uiPriority w:val="59"/>
    <w:rsid w:val="003F1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F19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F27D8C"/>
    <w:rPr>
      <w:i/>
      <w:iCs/>
    </w:rPr>
  </w:style>
  <w:style w:type="table" w:styleId="MediumShading1-Accent1">
    <w:name w:val="Medium Shading 1 Accent 1"/>
    <w:basedOn w:val="TableNormal"/>
    <w:uiPriority w:val="63"/>
    <w:rsid w:val="00545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CF5A0B"/>
    <w:rPr>
      <w:b/>
      <w:bCs/>
      <w:i/>
      <w:iCs/>
      <w:color w:val="4F81BD" w:themeColor="accent1"/>
    </w:rPr>
  </w:style>
  <w:style w:type="character" w:styleId="Hyperlink">
    <w:name w:val="Hyperlink"/>
    <w:basedOn w:val="DefaultParagraphFont"/>
    <w:uiPriority w:val="99"/>
    <w:unhideWhenUsed/>
    <w:rsid w:val="00056A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17"/>
  </w:style>
  <w:style w:type="paragraph" w:styleId="Footer">
    <w:name w:val="footer"/>
    <w:basedOn w:val="Normal"/>
    <w:link w:val="FooterChar"/>
    <w:uiPriority w:val="99"/>
    <w:unhideWhenUsed/>
    <w:rsid w:val="00B5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17"/>
  </w:style>
  <w:style w:type="paragraph" w:styleId="BalloonText">
    <w:name w:val="Balloon Text"/>
    <w:basedOn w:val="Normal"/>
    <w:link w:val="BalloonTextChar"/>
    <w:uiPriority w:val="99"/>
    <w:semiHidden/>
    <w:unhideWhenUsed/>
    <w:rsid w:val="00B5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17"/>
    <w:rPr>
      <w:rFonts w:ascii="Tahoma" w:hAnsi="Tahoma" w:cs="Tahoma"/>
      <w:sz w:val="16"/>
      <w:szCs w:val="16"/>
    </w:rPr>
  </w:style>
  <w:style w:type="character" w:styleId="PlaceholderText">
    <w:name w:val="Placeholder Text"/>
    <w:basedOn w:val="DefaultParagraphFont"/>
    <w:uiPriority w:val="99"/>
    <w:semiHidden/>
    <w:rsid w:val="00B52217"/>
    <w:rPr>
      <w:color w:val="808080"/>
    </w:rPr>
  </w:style>
  <w:style w:type="paragraph" w:styleId="NoSpacing">
    <w:name w:val="No Spacing"/>
    <w:uiPriority w:val="1"/>
    <w:qFormat/>
    <w:rsid w:val="002B2D7D"/>
    <w:pPr>
      <w:spacing w:after="0" w:line="240" w:lineRule="auto"/>
    </w:pPr>
  </w:style>
  <w:style w:type="paragraph" w:styleId="ListParagraph">
    <w:name w:val="List Paragraph"/>
    <w:basedOn w:val="Normal"/>
    <w:uiPriority w:val="34"/>
    <w:qFormat/>
    <w:rsid w:val="00A866DE"/>
    <w:pPr>
      <w:ind w:left="720"/>
      <w:contextualSpacing/>
    </w:pPr>
  </w:style>
  <w:style w:type="character" w:customStyle="1" w:styleId="Heading2Char">
    <w:name w:val="Heading 2 Char"/>
    <w:basedOn w:val="DefaultParagraphFont"/>
    <w:link w:val="Heading2"/>
    <w:uiPriority w:val="9"/>
    <w:rsid w:val="006066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6695"/>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0E5051"/>
    <w:rPr>
      <w:i/>
      <w:iCs/>
      <w:color w:val="808080" w:themeColor="text1" w:themeTint="7F"/>
    </w:rPr>
  </w:style>
  <w:style w:type="table" w:styleId="TableGrid">
    <w:name w:val="Table Grid"/>
    <w:basedOn w:val="TableNormal"/>
    <w:uiPriority w:val="59"/>
    <w:rsid w:val="003F1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F19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F27D8C"/>
    <w:rPr>
      <w:i/>
      <w:iCs/>
    </w:rPr>
  </w:style>
  <w:style w:type="table" w:styleId="MediumShading1-Accent1">
    <w:name w:val="Medium Shading 1 Accent 1"/>
    <w:basedOn w:val="TableNormal"/>
    <w:uiPriority w:val="63"/>
    <w:rsid w:val="00545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CF5A0B"/>
    <w:rPr>
      <w:b/>
      <w:bCs/>
      <w:i/>
      <w:iCs/>
      <w:color w:val="4F81BD" w:themeColor="accent1"/>
    </w:rPr>
  </w:style>
  <w:style w:type="character" w:styleId="Hyperlink">
    <w:name w:val="Hyperlink"/>
    <w:basedOn w:val="DefaultParagraphFont"/>
    <w:uiPriority w:val="99"/>
    <w:unhideWhenUsed/>
    <w:rsid w:val="00056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88254122974A8FB7C8844E9FC0EEC4"/>
        <w:category>
          <w:name w:val="General"/>
          <w:gallery w:val="placeholder"/>
        </w:category>
        <w:types>
          <w:type w:val="bbPlcHdr"/>
        </w:types>
        <w:behaviors>
          <w:behavior w:val="content"/>
        </w:behaviors>
        <w:guid w:val="{02530C34-50E1-4EA4-ACE9-9C078DC74AF3}"/>
      </w:docPartPr>
      <w:docPartBody>
        <w:p w:rsidR="005374A3" w:rsidRDefault="007F4128">
          <w:r w:rsidRPr="000F346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F4128"/>
    <w:rsid w:val="000F1869"/>
    <w:rsid w:val="00114FDE"/>
    <w:rsid w:val="0016296A"/>
    <w:rsid w:val="001B5810"/>
    <w:rsid w:val="0024209D"/>
    <w:rsid w:val="00262D5B"/>
    <w:rsid w:val="002926DA"/>
    <w:rsid w:val="003225BE"/>
    <w:rsid w:val="00456161"/>
    <w:rsid w:val="004679C0"/>
    <w:rsid w:val="004D5DA5"/>
    <w:rsid w:val="00515B4E"/>
    <w:rsid w:val="005374A3"/>
    <w:rsid w:val="005A7A40"/>
    <w:rsid w:val="005D48CE"/>
    <w:rsid w:val="006657B7"/>
    <w:rsid w:val="006855DE"/>
    <w:rsid w:val="00686301"/>
    <w:rsid w:val="007E2674"/>
    <w:rsid w:val="007F4128"/>
    <w:rsid w:val="008B0C37"/>
    <w:rsid w:val="00911E9B"/>
    <w:rsid w:val="00D439EC"/>
    <w:rsid w:val="00DD41BA"/>
    <w:rsid w:val="00E9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D7272BD48427E9E7BC6249A5B0EF4">
    <w:name w:val="D2DD7272BD48427E9E7BC6249A5B0EF4"/>
    <w:rsid w:val="007F4128"/>
  </w:style>
  <w:style w:type="character" w:styleId="PlaceholderText">
    <w:name w:val="Placeholder Text"/>
    <w:basedOn w:val="DefaultParagraphFont"/>
    <w:uiPriority w:val="99"/>
    <w:semiHidden/>
    <w:rsid w:val="00515B4E"/>
    <w:rPr>
      <w:color w:val="808080"/>
    </w:rPr>
  </w:style>
  <w:style w:type="paragraph" w:customStyle="1" w:styleId="617733E3FFEA42C2A75A0BF9C431C9B7">
    <w:name w:val="617733E3FFEA42C2A75A0BF9C431C9B7"/>
    <w:rsid w:val="007F4128"/>
  </w:style>
  <w:style w:type="paragraph" w:customStyle="1" w:styleId="463FB54892B2423B97B72B7CE5EA17AC">
    <w:name w:val="463FB54892B2423B97B72B7CE5EA17AC"/>
    <w:rsid w:val="007F4128"/>
  </w:style>
  <w:style w:type="paragraph" w:customStyle="1" w:styleId="665C3BD347AF4D4DA5EA9ECC68172545">
    <w:name w:val="665C3BD347AF4D4DA5EA9ECC68172545"/>
    <w:rsid w:val="00515B4E"/>
  </w:style>
  <w:style w:type="paragraph" w:customStyle="1" w:styleId="F6DD0CA7B3EF44DEB9208BCB7BB9FD83">
    <w:name w:val="F6DD0CA7B3EF44DEB9208BCB7BB9FD83"/>
    <w:rsid w:val="006855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BD08-1E5B-624D-A6F6-47798EB2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2368</Words>
  <Characters>13500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Czeiszperger, Robert</dc:creator>
  <dc:description>OSHA compliant SDS; add sections 6.4, 12.5, 12.6 for EU compliant</dc:description>
  <cp:lastModifiedBy>Haley Rykowski</cp:lastModifiedBy>
  <cp:revision>2</cp:revision>
  <cp:lastPrinted>2015-05-29T20:20:00Z</cp:lastPrinted>
  <dcterms:created xsi:type="dcterms:W3CDTF">2015-07-20T16:14:00Z</dcterms:created>
  <dcterms:modified xsi:type="dcterms:W3CDTF">2015-07-20T16:14:00Z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44c8afe0-dc30-4045-bdf1-02d100e893fa</vt:lpwstr>
  </property>
</Properties>
</file>